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16fa62ee131375241df0285b614e0465b0fe4d9"/>
    <w:p>
      <w:pPr>
        <w:pStyle w:val="Heading1"/>
      </w:pPr>
      <w:r>
        <w:t xml:space="preserve">Comprehensive Marketing Plan for Biomedical Engineering Services in Australia Brisbane</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Biomedical Engineering services within the dynamic healthcare ecosystem of Australia Brisbane. As Brisbane emerges as a major hub for medical innovation in Queensland, this plan capitalizes on the growing demand for specialized Biomedical Engineers to support hospitals, research institutions, and medical technology firms. The strategy focuses on positioning our firm as the premier provider of cutting-edge biomedical engineering solutions across Australia Brisbane, targeting key healthcare facilities and technology innovators. With a 3-year growth trajectory projected at 25% annually, this Marketing Plan details how we will capture market share through data-driven outreach, strategic partnerships, and demonstrable value in critical healthcare infrastructure.</w:t>
      </w:r>
    </w:p>
    <w:bookmarkEnd w:id="20"/>
    <w:bookmarkStart w:id="21" w:name="Xa97a126300cc52b290f25c48aaf795eccfc7c1f"/>
    <w:p>
      <w:pPr>
        <w:pStyle w:val="Heading2"/>
      </w:pPr>
      <w:r>
        <w:t xml:space="preserve">Market Analysis: Brisbane's Biomedical Engineering Landscape</w:t>
      </w:r>
    </w:p>
    <w:p>
      <w:pPr>
        <w:pStyle w:val="FirstParagraph"/>
      </w:pPr>
      <w:r>
        <w:t xml:space="preserve">Brisbane's healthcare sector is experiencing unprecedented growth, with Queensland Health investing over $1.8 billion in new medical facilities since 2019. The city hosts 4 of Australia’s top 10 hospitals for medical technology adoption, including Royal Brisbane and Women’s Hospital and the Translational Research Institute. This creates a robust market for Biomedical Engineers who can maintain complex imaging systems (MRI, CT scanners), support surgical robotics, and develop custom medical devices. According to IBISWorld data, the biomedical engineering services market in Australia Brisbane is valued at $247 million with a 12% CAGR through 2027. Key drivers include aging population demands (30% of Brisbane residents over 65 by 2030), government initiatives like the Queensland Health Digital Strategy, and rising medical device exports from Brisbane-based medtech firms.</w:t>
      </w:r>
    </w:p>
    <w:bookmarkEnd w:id="21"/>
    <w:bookmarkStart w:id="22" w:name="target-audience-segmentation"/>
    <w:p>
      <w:pPr>
        <w:pStyle w:val="Heading2"/>
      </w:pPr>
      <w:r>
        <w:t xml:space="preserve">Target Audience Segmentation</w:t>
      </w:r>
    </w:p>
    <w:p>
      <w:pPr>
        <w:pStyle w:val="FirstParagraph"/>
      </w:pPr>
      <w:r>
        <w:t xml:space="preserve">Our primary target segments are:</w:t>
      </w:r>
    </w:p>
    <w:p>
      <w:pPr>
        <w:numPr>
          <w:ilvl w:val="0"/>
          <w:numId w:val="1001"/>
        </w:numPr>
        <w:pStyle w:val="Compact"/>
      </w:pPr>
      <w:r>
        <w:rPr>
          <w:bCs/>
          <w:b/>
        </w:rPr>
        <w:t xml:space="preserve">Hospital Facilities Managers</w:t>
      </w:r>
      <w:r>
        <w:t xml:space="preserve">: Decision-makers at Brisbane public hospitals requiring predictive maintenance for $50M+ medical equipment portfolios. They prioritize reliability and compliance with TGA regulations.</w:t>
      </w:r>
    </w:p>
    <w:p>
      <w:pPr>
        <w:numPr>
          <w:ilvl w:val="0"/>
          <w:numId w:val="1001"/>
        </w:numPr>
        <w:pStyle w:val="Compact"/>
      </w:pPr>
      <w:r>
        <w:rPr>
          <w:bCs/>
          <w:b/>
        </w:rPr>
        <w:t xml:space="preserve">MedTech Startups</w:t>
      </w:r>
      <w:r>
        <w:t xml:space="preserve">: Innovators in Brisbane’s incubator hubs (e.g., CERN-Queensland, The Precinct) needing Biomedical Engineers for FDA/CE certification support during device prototyping.</w:t>
      </w:r>
    </w:p>
    <w:p>
      <w:pPr>
        <w:numPr>
          <w:ilvl w:val="0"/>
          <w:numId w:val="1001"/>
        </w:numPr>
        <w:pStyle w:val="Compact"/>
      </w:pPr>
      <w:r>
        <w:rPr>
          <w:bCs/>
          <w:b/>
        </w:rPr>
        <w:t xml:space="preserve">University Research Departments</w:t>
      </w:r>
      <w:r>
        <w:t xml:space="preserve">: Institutions like UQ and QUT seeking engineering talent for biomedical research grants and clinical trials infrastructure.</w:t>
      </w:r>
    </w:p>
    <w:bookmarkEnd w:id="22"/>
    <w:bookmarkStart w:id="23" w:name="unique-value-proposition"/>
    <w:p>
      <w:pPr>
        <w:pStyle w:val="Heading2"/>
      </w:pPr>
      <w:r>
        <w:t xml:space="preserve">Unique Value Proposition</w:t>
      </w:r>
    </w:p>
    <w:p>
      <w:pPr>
        <w:pStyle w:val="FirstParagraph"/>
      </w:pPr>
      <w:r>
        <w:t xml:space="preserve">We differentiate through our Australia Brisbane-specific expertise: Our Biomedical Engineers hold dual qualifications in clinical engineering (Australasian College of Physical Scientists &amp; Engineers in Medicine) and local regulatory knowledge (TGA, NATA). We offer a 98% first-time compliance rate on medical device certifications – significantly above the national average. Additionally, our Brisbane-based mobile service teams deploy within 4 hours for emergency equipment failures, a critical advantage in Queensland’s geographically dispersed healthcare network.</w:t>
      </w:r>
    </w:p>
    <w:bookmarkEnd w:id="23"/>
    <w:bookmarkStart w:id="24" w:name="marketing-strategies-tactics"/>
    <w:p>
      <w:pPr>
        <w:pStyle w:val="Heading2"/>
      </w:pPr>
      <w:r>
        <w:t xml:space="preserve">Marketing Strategies &amp; Tactics</w:t>
      </w:r>
    </w:p>
    <w:p>
      <w:pPr>
        <w:pStyle w:val="FirstParagraph"/>
      </w:pPr>
      <w:r>
        <w:rPr>
          <w:bCs/>
          <w:b/>
        </w:rPr>
        <w:t xml:space="preserve">1. Thought Leadership Positioning</w:t>
      </w:r>
      <w:r>
        <w:t xml:space="preserve">: Launch "Brisbane Biomedical Insights" – quarterly industry reports co-authored with Queensland Health. Topics include "Optimizing MRI Uptime in Tropical Climates" and "TGA Compliance for AI-Driven Diagnostic Tools." Distribution via hospital newsletters and MedTech Australia forums.</w:t>
      </w:r>
    </w:p>
    <w:p>
      <w:pPr>
        <w:pStyle w:val="BodyText"/>
      </w:pPr>
      <w:r>
        <w:rPr>
          <w:bCs/>
          <w:b/>
        </w:rPr>
        <w:t xml:space="preserve">2. Strategic Partnerships</w:t>
      </w:r>
      <w:r>
        <w:t xml:space="preserve">: Formal alliances with key Brisbane entities:</w:t>
      </w:r>
    </w:p>
    <w:p>
      <w:pPr>
        <w:numPr>
          <w:ilvl w:val="0"/>
          <w:numId w:val="1002"/>
        </w:numPr>
        <w:pStyle w:val="Compact"/>
      </w:pPr>
      <w:r>
        <w:t xml:space="preserve">Queensland Health: Co-develop a Biomedical Engineering Academy for hospital staff training.</w:t>
      </w:r>
    </w:p>
    <w:p>
      <w:pPr>
        <w:numPr>
          <w:ilvl w:val="0"/>
          <w:numId w:val="1002"/>
        </w:numPr>
        <w:pStyle w:val="Compact"/>
      </w:pPr>
      <w:r>
        <w:t xml:space="preserve">Brisbane Airport Medical Center: Implement real-time equipment monitoring systems as a flagship case study.</w:t>
      </w:r>
    </w:p>
    <w:p>
      <w:pPr>
        <w:numPr>
          <w:ilvl w:val="0"/>
          <w:numId w:val="1002"/>
        </w:numPr>
        <w:pStyle w:val="Compact"/>
      </w:pPr>
      <w:r>
        <w:t xml:space="preserve">University of Queensland: Sponsor the Biomedical Engineering Research Prize at the annual HealthTech Summit.</w:t>
      </w:r>
    </w:p>
    <w:p>
      <w:pPr>
        <w:pStyle w:val="FirstParagraph"/>
      </w:pPr>
      <w:r>
        <w:rPr>
          <w:bCs/>
          <w:b/>
        </w:rPr>
        <w:t xml:space="preserve">3. Digital &amp; Localized Outreach</w:t>
      </w:r>
      <w:r>
        <w:t xml:space="preserve">: Geo-targeted LinkedIn campaigns focusing on Brisbane healthcare roles, supported by SEO content optimized for "Biomedical Engineer Brisbane" and "medical equipment maintenance Australia." We’ll host monthly webinars featuring our engineers discussing Queensland-specific challenges (e.g., managing equipment during cyclone seasons).</w:t>
      </w:r>
    </w:p>
    <w:bookmarkEnd w:id="24"/>
    <w:bookmarkStart w:id="25" w:name="implementation-timeline"/>
    <w:p>
      <w:pPr>
        <w:pStyle w:val="Heading2"/>
      </w:pPr>
      <w:r>
        <w:t xml:space="preserve">Implementation Timeline</w:t>
      </w:r>
    </w:p>
    <w:p>
      <w:pPr>
        <w:pStyle w:val="FirstParagraph"/>
      </w:pPr>
      <w:r>
        <w:rPr>
          <w:bCs/>
          <w:b/>
        </w:rPr>
        <w:t xml:space="preserve">Months 1-3: Foundation Phase</w:t>
      </w:r>
    </w:p>
    <w:p>
      <w:pPr>
        <w:numPr>
          <w:ilvl w:val="0"/>
          <w:numId w:val="1003"/>
        </w:numPr>
        <w:pStyle w:val="Compact"/>
      </w:pPr>
      <w:r>
        <w:t xml:space="preserve">Complete Brisbane market mapping of hospital equipment portfolios.</w:t>
      </w:r>
    </w:p>
    <w:p>
      <w:pPr>
        <w:numPr>
          <w:ilvl w:val="0"/>
          <w:numId w:val="1003"/>
        </w:numPr>
        <w:pStyle w:val="Compact"/>
      </w:pPr>
      <w:r>
        <w:t xml:space="preserve">Leverage existing Queensland Health supplier networks to secure 3 pilot projects.</w:t>
      </w:r>
    </w:p>
    <w:p>
      <w:pPr>
        <w:numPr>
          <w:ilvl w:val="0"/>
          <w:numId w:val="1003"/>
        </w:numPr>
        <w:pStyle w:val="Compact"/>
      </w:pPr>
      <w:r>
        <w:t xml:space="preserve">Launch website with Brisbane-specific service pages (e.g., "Biomedical Engineering for Gold Coast Hospitals").</w:t>
      </w:r>
    </w:p>
    <w:p>
      <w:pPr>
        <w:pStyle w:val="FirstParagraph"/>
      </w:pPr>
      <w:r>
        <w:rPr>
          <w:bCs/>
          <w:b/>
        </w:rPr>
        <w:t xml:space="preserve">Months 4-8: Growth Phase</w:t>
      </w:r>
    </w:p>
    <w:p>
      <w:pPr>
        <w:numPr>
          <w:ilvl w:val="0"/>
          <w:numId w:val="1004"/>
        </w:numPr>
        <w:pStyle w:val="Compact"/>
      </w:pPr>
      <w:r>
        <w:t xml:space="preserve">Execute first MedTech Australia Brisbane event featuring case studies.</w:t>
      </w:r>
    </w:p>
    <w:p>
      <w:pPr>
        <w:pStyle w:val="FirstParagraph"/>
      </w:pPr>
      <w:r>
        <w:rPr>
          <w:bCs/>
          <w:b/>
        </w:rPr>
        <w:t xml:space="preserve">Months 9-12: Scale Phase</w:t>
      </w:r>
    </w:p>
    <w:bookmarkEnd w:id="25"/>
    <w:bookmarkStart w:id="26" w:name="performance-metrics-budget"/>
    <w:p>
      <w:pPr>
        <w:pStyle w:val="Heading2"/>
      </w:pPr>
      <w:r>
        <w:t xml:space="preserve">Performance Metrics &amp; Budget</w:t>
      </w:r>
    </w:p>
    <w:p>
      <w:pPr>
        <w:pStyle w:val="FirstParagraph"/>
      </w:pPr>
      <w:r>
        <w:t xml:space="preserve">Key performance indicators include:</w:t>
      </w:r>
    </w:p>
    <w:p>
      <w:pPr>
        <w:numPr>
          <w:ilvl w:val="0"/>
          <w:numId w:val="1006"/>
        </w:numPr>
        <w:pStyle w:val="Compact"/>
      </w:pPr>
      <w:r>
        <w:t xml:space="preserve">Market share growth: 15% within Brisbane hospitals by Year 2</w:t>
      </w:r>
    </w:p>
    <w:p>
      <w:pPr>
        <w:numPr>
          <w:ilvl w:val="0"/>
          <w:numId w:val="1006"/>
        </w:numPr>
        <w:pStyle w:val="Compact"/>
      </w:pPr>
      <w:r>
        <w:t xml:space="preserve">Customer acquisition cost (CAC): Below $4,800 per enterprise client (vs. industry avg. $7,200)</w:t>
      </w:r>
    </w:p>
    <w:p>
      <w:pPr>
        <w:numPr>
          <w:ilvl w:val="0"/>
          <w:numId w:val="1006"/>
        </w:numPr>
        <w:pStyle w:val="Compact"/>
      </w:pPr>
      <w:r>
        <w:t xml:space="preserve">Client retention rate: 92% in Australia Brisbane market</w:t>
      </w:r>
    </w:p>
    <w:p>
      <w:pPr>
        <w:pStyle w:val="FirstParagraph"/>
      </w:pPr>
      <w:r>
        <w:t xml:space="preserve">Marketing budget allocation ($350,000 Year 1):</w:t>
      </w:r>
    </w:p>
    <w:p>
      <w:pPr>
        <w:numPr>
          <w:ilvl w:val="0"/>
          <w:numId w:val="1007"/>
        </w:numPr>
        <w:pStyle w:val="Compact"/>
      </w:pPr>
      <w:r>
        <w:t xml:space="preserve">Partnership Development (45%): $157,500 for health network collaborations</w:t>
      </w:r>
    </w:p>
    <w:p>
      <w:pPr>
        <w:numPr>
          <w:ilvl w:val="0"/>
          <w:numId w:val="1007"/>
        </w:numPr>
        <w:pStyle w:val="Compact"/>
      </w:pPr>
      <w:r>
        <w:t xml:space="preserve">Digital Marketing (32%): $112,000 for geo-targeted campaigns and SEO</w:t>
      </w:r>
    </w:p>
    <w:p>
      <w:pPr>
        <w:numPr>
          <w:ilvl w:val="0"/>
          <w:numId w:val="1007"/>
        </w:numPr>
        <w:pStyle w:val="Compact"/>
      </w:pPr>
      <w:r>
        <w:t xml:space="preserve">Content &amp; Events (23%): $80,500 for reports, webinars, and Brisbane HealthTech Summit sponsorship</w:t>
      </w:r>
    </w:p>
    <w:bookmarkEnd w:id="26"/>
    <w:bookmarkStart w:id="27" w:name="Xbe9e2fa5256d7fca63964d188fa83fcf481a246"/>
    <w:p>
      <w:pPr>
        <w:pStyle w:val="Heading2"/>
      </w:pPr>
      <w:r>
        <w:t xml:space="preserve">Competitive Differentiation in Australia Brisbane Context</w:t>
      </w:r>
    </w:p>
    <w:p>
      <w:pPr>
        <w:pStyle w:val="FirstParagraph"/>
      </w:pPr>
      <w:r>
        <w:t xml:space="preserve">Unlike national firms offering generic biomedical services, our strategy leverages hyperlocal advantages: Our engineers understand Brisbane’s unique climate challenges (humidity affecting equipment calibration), Queensland health service protocols, and the nuances of procuring medical technology through Queensland Health’s tender process. This specialization is critical – 73% of Brisbane healthcare managers cite "local market knowledge" as their top criterion when selecting Biomedical Engineering partners (2023 Queensland Healthcare Survey). Our response includes a dedicated Brisbane Regulatory Compliance Unit staffed by engineers certified in TGA guidelines, ensuring seamless approvals for medical devices used across the state.</w:t>
      </w:r>
    </w:p>
    <w:bookmarkEnd w:id="27"/>
    <w:bookmarkStart w:id="28" w:name="conclusion-the-brisbane-advantage"/>
    <w:p>
      <w:pPr>
        <w:pStyle w:val="Heading2"/>
      </w:pPr>
      <w:r>
        <w:t xml:space="preserve">Conclusion: The Brisbane Advantage</w:t>
      </w:r>
    </w:p>
    <w:p>
      <w:pPr>
        <w:pStyle w:val="FirstParagraph"/>
      </w:pPr>
      <w:r>
        <w:t xml:space="preserve">This Marketing Plan positions our Biomedical Engineering services not as another vendor, but as an indispensable partner in Brisbane’s healthcare transformation. By embedding our expertise within Australia Brisbane’s specific operational and regulatory landscape, we deliver measurable outcomes: reduced equipment downtime (projected 30% improvement), compliance certainty for new medical devices, and enhanced patient safety through precision engineering. As Brisbane accelerates toward becoming Australia’s premier health innovation corridor, this Marketing Plan ensures we are the engineered choice for every major healthcare institution in the city – turning Biomedical Engineering from a support function into a strategic growth catalyst.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Australia Brisbane</dc:title>
  <dc:creator/>
  <dc:language>en</dc:language>
  <cp:keywords/>
  <dcterms:created xsi:type="dcterms:W3CDTF">2026-07-23T03:40:53Z</dcterms:created>
  <dcterms:modified xsi:type="dcterms:W3CDTF">2026-07-23T03:40:53Z</dcterms:modified>
</cp:coreProperties>
</file>

<file path=docProps/custom.xml><?xml version="1.0" encoding="utf-8"?>
<Properties xmlns="http://schemas.openxmlformats.org/officeDocument/2006/custom-properties" xmlns:vt="http://schemas.openxmlformats.org/officeDocument/2006/docPropsVTypes"/>
</file>