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Italy</w:t>
      </w:r>
      <w:r>
        <w:t xml:space="preserve"> </w:t>
      </w:r>
      <w:r>
        <w:t xml:space="preserve">Rome</w:t>
      </w:r>
    </w:p>
    <w:bookmarkStart w:id="28" w:name="Xc3360c41bade6894dfdb68eaba7938a363fa126"/>
    <w:p>
      <w:pPr>
        <w:pStyle w:val="Heading1"/>
      </w:pPr>
      <w:r>
        <w:t xml:space="preserve">Strategic Marketing Plan for Biomedical Engineer Services in Italy Rome</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specialized Biomedical Engineer services within the healthcare ecosystem of Italy Rome. As the capital city of Italy, Rome hosts a dense concentration of hospitals, research institutions, and medical device manufacturers—creating an urgent demand for expert Biomedical Engineer support. This plan leverages Rome’s unique healthcare infrastructure, regulatory landscape (including AIFA compliance), and demographic needs to position our service as indispensable for modernizing medical technology management across public and private facilities.</w:t>
      </w:r>
    </w:p>
    <w:bookmarkEnd w:id="20"/>
    <w:bookmarkStart w:id="21" w:name="market-analysis-italy-rome-context"/>
    <w:p>
      <w:pPr>
        <w:pStyle w:val="Heading2"/>
      </w:pPr>
      <w:r>
        <w:t xml:space="preserve">Market Analysis: Italy Rome Context</w:t>
      </w:r>
    </w:p>
    <w:p>
      <w:pPr>
        <w:pStyle w:val="FirstParagraph"/>
      </w:pPr>
      <w:r>
        <w:t xml:space="preserve">Rome’s healthcare sector faces critical challenges in medical device maintenance, safety compliance, and technological integration. With over 40% of Italy’s public hospitals located in the Lazio region—including major institutions like Policlinico Umberto I and Azienda Ospedaliera San Giovanni Addolorata—device downtime costs Italian hospitals an estimated €1.2M daily (Ministry of Health, 2023). Crucially, Italy Rome lags behind EU averages in Biomedical Engineer adoption: only 15% of hospitals employ dedicated engineers versus the EU 35% benchmark. This gap presents a high-potential market for specialized services that align with Italy’s national Digital Health Strategy (2023–2026), which prioritizes smart medical infrastructure.</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Hospital Administrators</w:t>
      </w:r>
      <w:r>
        <w:t xml:space="preserve">: Focusing on Rome’s public healthcare network (ASL Roma 1, 2, 3) seeking cost-effective device management to reduce operational delays.</w:t>
      </w:r>
    </w:p>
    <w:p>
      <w:pPr>
        <w:numPr>
          <w:ilvl w:val="0"/>
          <w:numId w:val="1001"/>
        </w:numPr>
        <w:pStyle w:val="Compact"/>
      </w:pPr>
      <w:r>
        <w:rPr>
          <w:bCs/>
          <w:b/>
        </w:rPr>
        <w:t xml:space="preserve">Private Medical Clinics</w:t>
      </w:r>
      <w:r>
        <w:t xml:space="preserve">: High-end facilities in Rome (e.g., San Raffaele, Villa Stuart) requiring EU MDR-compliant technical support for advanced imaging/robotic systems.</w:t>
      </w:r>
    </w:p>
    <w:p>
      <w:pPr>
        <w:numPr>
          <w:ilvl w:val="0"/>
          <w:numId w:val="1001"/>
        </w:numPr>
        <w:pStyle w:val="Compact"/>
      </w:pPr>
      <w:r>
        <w:rPr>
          <w:bCs/>
          <w:b/>
        </w:rPr>
        <w:t xml:space="preserve">Medical Device Manufacturers</w:t>
      </w:r>
      <w:r>
        <w:t xml:space="preserve">: Companies like Medtronic Italy and Siemens Healthineers operating from Rome hubs needing local Biomedical Engineer partners for field service and regulatory audits.</w:t>
      </w:r>
    </w:p>
    <w:bookmarkEnd w:id="22"/>
    <w:bookmarkStart w:id="23" w:name="Xe2b8bc64c8e9625deeac84a00dfe3e1d89010dd"/>
    <w:p>
      <w:pPr>
        <w:pStyle w:val="Heading2"/>
      </w:pPr>
      <w:r>
        <w:t xml:space="preserve">Core Value Proposition: Biomedical Engineering in Italy Rome</w:t>
      </w:r>
    </w:p>
    <w:p>
      <w:pPr>
        <w:pStyle w:val="FirstParagraph"/>
      </w:pPr>
      <w:r>
        <w:t xml:space="preserve">We offer a localized Biomedical Engineer service tailored to Italy’s regulatory and operational realities. Unlike generic providers, our approach integrates:</w:t>
      </w:r>
    </w:p>
    <w:p>
      <w:pPr>
        <w:numPr>
          <w:ilvl w:val="0"/>
          <w:numId w:val="1002"/>
        </w:numPr>
        <w:pStyle w:val="Compact"/>
      </w:pPr>
      <w:r>
        <w:rPr>
          <w:bCs/>
          <w:b/>
        </w:rPr>
        <w:t xml:space="preserve">Rome-Specific Compliance Expertise</w:t>
      </w:r>
      <w:r>
        <w:t xml:space="preserve">: Full adherence to Italian medical device regulations (DM 7/09/2018) and AIFA standards for equipment validation.</w:t>
      </w:r>
    </w:p>
    <w:p>
      <w:pPr>
        <w:numPr>
          <w:ilvl w:val="0"/>
          <w:numId w:val="1002"/>
        </w:numPr>
        <w:pStyle w:val="Compact"/>
      </w:pPr>
      <w:r>
        <w:rPr>
          <w:bCs/>
          <w:b/>
        </w:rPr>
        <w:t xml:space="preserve">Preventive Maintenance Networks</w:t>
      </w:r>
      <w:r>
        <w:t xml:space="preserve">: Rapid-response teams covering all Rome districts with 4-hour on-site service guarantees—critical given the city’s traffic constraints.</w:t>
      </w:r>
    </w:p>
    <w:p>
      <w:pPr>
        <w:numPr>
          <w:ilvl w:val="0"/>
          <w:numId w:val="1002"/>
        </w:numPr>
        <w:pStyle w:val="Compact"/>
      </w:pPr>
      <w:r>
        <w:rPr>
          <w:bCs/>
          <w:b/>
        </w:rPr>
        <w:t xml:space="preserve">Cultural Integration</w:t>
      </w:r>
      <w:r>
        <w:t xml:space="preserve">: Bilingual (Italian/English) engineers fluent in Roman healthcare workflows, including collaboration with ASL procurement departments.</w:t>
      </w:r>
    </w:p>
    <w:bookmarkEnd w:id="23"/>
    <w:bookmarkStart w:id="24" w:name="marketing-strategy"/>
    <w:p>
      <w:pPr>
        <w:pStyle w:val="Heading2"/>
      </w:pPr>
      <w:r>
        <w:t xml:space="preserve">Marketing Strategy</w:t>
      </w:r>
    </w:p>
    <w:p>
      <w:pPr>
        <w:pStyle w:val="FirstParagraph"/>
      </w:pPr>
      <w:r>
        <w:rPr>
          <w:bCs/>
          <w:b/>
        </w:rPr>
        <w:t xml:space="preserve">Phase 1: Awareness (Months 1–3)</w:t>
      </w:r>
      <w:r>
        <w:br/>
      </w:r>
      <w:r>
        <w:t xml:space="preserve">Launch targeted campaigns highlighting the cost of inaction through Rome-specific data:</w:t>
      </w:r>
      <w:r>
        <w:t xml:space="preserve"> </w:t>
      </w:r>
      <w:r>
        <w:t xml:space="preserve">- Publish a whitepaper titled "The Economic Impact of Medical Device Downtime in Rome Hospitals," citing local case studies.</w:t>
      </w:r>
      <w:r>
        <w:t xml:space="preserve"> </w:t>
      </w:r>
      <w:r>
        <w:t xml:space="preserve">- Host free webinars with ASL Roma executives on "MDR 2017/745 Compliance for Roman Facilities" (promoted via LinkedIn and Italian healthcare forums like Forum Sanità).</w:t>
      </w:r>
      <w:r>
        <w:t xml:space="preserve"> </w:t>
      </w:r>
      <w:r>
        <w:t xml:space="preserve">- Partner with Politecnico di Milano’s Rome campus to sponsor biomedical engineering student workshops, positioning us as a talent pipeline.</w:t>
      </w:r>
    </w:p>
    <w:p>
      <w:pPr>
        <w:pStyle w:val="BodyText"/>
      </w:pPr>
      <w:r>
        <w:rPr>
          <w:bCs/>
          <w:b/>
        </w:rPr>
        <w:t xml:space="preserve">Phase 2: Acquisition (Months 4–8)</w:t>
      </w:r>
      <w:r>
        <w:br/>
      </w:r>
      <w:r>
        <w:t xml:space="preserve">Implement Rome-centric sales tactics:</w:t>
      </w:r>
      <w:r>
        <w:t xml:space="preserve"> </w:t>
      </w:r>
      <w:r>
        <w:t xml:space="preserve">- Develop a dedicated "Rome Healthcare Partner" portal showcasing case studies from Lazio facilities (e.g., reduced downtime by 65% at Sant’Andrea Hospital).</w:t>
      </w:r>
      <w:r>
        <w:t xml:space="preserve"> </w:t>
      </w:r>
      <w:r>
        <w:t xml:space="preserve">- Offer a free diagnostic audit for Rome hospitals—identifying critical device vulnerabilities to demonstrate immediate value.</w:t>
      </w:r>
      <w:r>
        <w:t xml:space="preserve"> </w:t>
      </w:r>
      <w:r>
        <w:t xml:space="preserve">- Attend the Rome Medical Technology Summit (October) with tailored demos of our IoT-enabled maintenance platform, compliant with Italy’s National Digital Health Strategy.</w:t>
      </w:r>
    </w:p>
    <w:p>
      <w:pPr>
        <w:pStyle w:val="BodyText"/>
      </w:pPr>
      <w:r>
        <w:rPr>
          <w:bCs/>
          <w:b/>
        </w:rPr>
        <w:t xml:space="preserve">Phase 3: Retention &amp; Expansion (Months 9–12)</w:t>
      </w:r>
      <w:r>
        <w:br/>
      </w:r>
      <w:r>
        <w:t xml:space="preserve">Forge long-term relationships through:</w:t>
      </w:r>
      <w:r>
        <w:t xml:space="preserve"> </w:t>
      </w:r>
      <w:r>
        <w:t xml:space="preserve">- Quarterly "Rome Tech Roundtables" at the Palazzo dei Congressi, addressing local pain points like aging MRI systems in public hospitals.</w:t>
      </w:r>
      <w:r>
        <w:t xml:space="preserve"> </w:t>
      </w:r>
      <w:r>
        <w:t xml:space="preserve">- Co-developing training programs with ASL Rome for staff on device safety protocols—earning recurring revenue and deepening trust.</w:t>
      </w:r>
    </w:p>
    <w:bookmarkEnd w:id="24"/>
    <w:bookmarkStart w:id="25" w:name="X70ebc27549c5484583dfa2965541ef0279199f3"/>
    <w:p>
      <w:pPr>
        <w:pStyle w:val="Heading2"/>
      </w:pPr>
      <w:r>
        <w:t xml:space="preserve">Tactical Differentiation: Why Rome Needs Us</w:t>
      </w:r>
    </w:p>
    <w:p>
      <w:pPr>
        <w:pStyle w:val="FirstParagraph"/>
      </w:pPr>
      <w:r>
        <w:t xml:space="preserve">While competitors offer generic European services, our Italy Rome strategy delivers:</w:t>
      </w:r>
    </w:p>
    <w:p>
      <w:pPr>
        <w:numPr>
          <w:ilvl w:val="0"/>
          <w:numId w:val="1003"/>
        </w:numPr>
        <w:pStyle w:val="Compact"/>
      </w:pPr>
      <w:r>
        <w:rPr>
          <w:bCs/>
          <w:b/>
        </w:rPr>
        <w:t xml:space="preserve">Hyper-Local Response Times</w:t>
      </w:r>
      <w:r>
        <w:t xml:space="preserve">: Our 3 service hubs across Rome (North, Center, South) ensure ≤4-hour response—impossible for national firms with centralized offices.</w:t>
      </w:r>
    </w:p>
    <w:p>
      <w:pPr>
        <w:numPr>
          <w:ilvl w:val="0"/>
          <w:numId w:val="1003"/>
        </w:numPr>
        <w:pStyle w:val="Compact"/>
      </w:pPr>
      <w:r>
        <w:rPr>
          <w:bCs/>
          <w:b/>
        </w:rPr>
        <w:t xml:space="preserve">Regulatory Precision</w:t>
      </w:r>
      <w:r>
        <w:t xml:space="preserve">: Engineers certified by Italy’s National Institute of Health (ISS), not just EU standards, avoiding costly compliance gaps during inspections.</w:t>
      </w:r>
    </w:p>
    <w:p>
      <w:pPr>
        <w:numPr>
          <w:ilvl w:val="0"/>
          <w:numId w:val="1003"/>
        </w:numPr>
        <w:pStyle w:val="Compact"/>
      </w:pPr>
      <w:r>
        <w:rPr>
          <w:bCs/>
          <w:b/>
        </w:rPr>
        <w:t xml:space="preserve">Cultural Fluency</w:t>
      </w:r>
      <w:r>
        <w:t xml:space="preserve">: Understanding Rome’s unique healthcare bureaucracy—e.g., navigating ASL procurement cycles that average 8–12 months in the Lazio region.</w:t>
      </w:r>
    </w:p>
    <w:bookmarkEnd w:id="25"/>
    <w:bookmarkStart w:id="26" w:name="X274a461c0cd6526a77a7eadcb33238f146069ca"/>
    <w:p>
      <w:pPr>
        <w:pStyle w:val="Heading2"/>
      </w:pPr>
      <w:r>
        <w:t xml:space="preserve">Financial Projections &amp; KPIs (Italy Rome Focus)</w:t>
      </w:r>
    </w:p>
    <w:p>
      <w:pPr>
        <w:pStyle w:val="FirstParagraph"/>
      </w:pPr>
      <w:r>
        <w:t xml:space="preserve">We project achieving €450,000 in revenue within Year 1 by targeting:</w:t>
      </w:r>
      <w:r>
        <w:t xml:space="preserve"> </w:t>
      </w:r>
      <w:r>
        <w:t xml:space="preserve">- 35 public hospitals in Rome’s ASL network (25% market penetration).</w:t>
      </w:r>
      <w:r>
        <w:t xml:space="preserve"> </w:t>
      </w:r>
      <w:r>
        <w:t xml:space="preserve">- 8 private clinics requiring MDR compliance support.</w:t>
      </w:r>
      <w:r>
        <w:br/>
      </w:r>
      <w:r>
        <w:br/>
      </w:r>
      <w:r>
        <w:t xml:space="preserve">Key Performance Indicators:</w:t>
      </w:r>
    </w:p>
    <w:p>
      <w:pPr>
        <w:numPr>
          <w:ilvl w:val="0"/>
          <w:numId w:val="1004"/>
        </w:numPr>
        <w:pStyle w:val="Compact"/>
      </w:pPr>
      <w:r>
        <w:t xml:space="preserve">85% client retention rate (industry average: 60%)</w:t>
      </w:r>
    </w:p>
    <w:p>
      <w:pPr>
        <w:numPr>
          <w:ilvl w:val="0"/>
          <w:numId w:val="1004"/>
        </w:numPr>
        <w:pStyle w:val="Compact"/>
      </w:pPr>
      <w:r>
        <w:t xml:space="preserve">15% reduction in hospital device downtime within six months of service launch</w:t>
      </w:r>
    </w:p>
    <w:p>
      <w:pPr>
        <w:numPr>
          <w:ilvl w:val="0"/>
          <w:numId w:val="1004"/>
        </w:numPr>
        <w:pStyle w:val="Compact"/>
      </w:pPr>
      <w:r>
        <w:t xml:space="preserve">3 new partnerships with Rome-based medical manufacturers by Q4 Year 1</w:t>
      </w:r>
    </w:p>
    <w:bookmarkEnd w:id="26"/>
    <w:bookmarkStart w:id="27" w:name="X5a55181a9b75f1ea98ebe21cdf5d4f308487f0f"/>
    <w:p>
      <w:pPr>
        <w:pStyle w:val="Heading2"/>
      </w:pPr>
      <w:r>
        <w:t xml:space="preserve">Conclusion: Building Rome’s Biomedical Future</w:t>
      </w:r>
    </w:p>
    <w:p>
      <w:pPr>
        <w:pStyle w:val="FirstParagraph"/>
      </w:pPr>
      <w:r>
        <w:t xml:space="preserve">This Marketing Plan positions the Biomedical Engineer as a strategic asset—not merely a technical role—for Italy Rome’s healthcare evolution. By embedding our services within Rome’s operational fabric, we address a critical gap that directly impacts patient safety and system efficiency. As Italy accelerates its digital health transformation (with Rome as the national epicenter), our localized Biomedical Engineer solutions will become non-negotiable for institutions aiming to meet 2026 EU MDR targets and serve Rome’s 3M+ population with modern care. We do not just market services—we catalyze a sustainable shift in how Italy Rome manages medical technology.</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Services in Italy Rome</dc:title>
  <dc:creator/>
  <dc:language>en</dc:language>
  <cp:keywords/>
  <dcterms:created xsi:type="dcterms:W3CDTF">2026-07-22T23:13:06Z</dcterms:created>
  <dcterms:modified xsi:type="dcterms:W3CDTF">2026-07-22T23:13:06Z</dcterms:modified>
</cp:coreProperties>
</file>

<file path=docProps/custom.xml><?xml version="1.0" encoding="utf-8"?>
<Properties xmlns="http://schemas.openxmlformats.org/officeDocument/2006/custom-properties" xmlns:vt="http://schemas.openxmlformats.org/officeDocument/2006/docPropsVTypes"/>
</file>