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United</w:t>
      </w:r>
      <w:r>
        <w:t xml:space="preserve"> </w:t>
      </w:r>
      <w:r>
        <w:t xml:space="preserve">Kingdom</w:t>
      </w:r>
      <w:r>
        <w:t xml:space="preserve"> </w:t>
      </w:r>
      <w:r>
        <w:t xml:space="preserve">London</w:t>
      </w:r>
    </w:p>
    <w:bookmarkStart w:id="29" w:name="X44281022d7d18960d70abef817f4af8957dd33c"/>
    <w:p>
      <w:pPr>
        <w:pStyle w:val="Heading1"/>
      </w:pPr>
      <w:r>
        <w:t xml:space="preserve">Comprehensive Marketing Plan for Biomedical Engineer Recruitment in United Kingdom London</w:t>
      </w:r>
    </w:p>
    <w:bookmarkStart w:id="20" w:name="executive-summary"/>
    <w:p>
      <w:pPr>
        <w:pStyle w:val="Heading2"/>
      </w:pPr>
      <w:r>
        <w:t xml:space="preserve">Executive Summary</w:t>
      </w:r>
    </w:p>
    <w:p>
      <w:pPr>
        <w:pStyle w:val="FirstParagraph"/>
      </w:pPr>
      <w:r>
        <w:t xml:space="preserve">This Marketing Plan outlines a targeted strategy to attract and retain elite Biomedical Engineers within the United Kingdom London market. As London solidifies its position as Europe’s premier hub for healthcare innovation, this plan leverages the city’s unique ecosystem—combining world-leading NHS trusts, cutting-edge research institutions, and a vibrant MedTech startup scene—to position London as the undisputed destination for Biomedical Engineering talent. The initiative targets global professionals seeking impactful careers at the intersection of technology and healthcare, with a focus on achieving 35% growth in qualified Biomedical Engineer candidates by Q4 2025.</w:t>
      </w:r>
    </w:p>
    <w:bookmarkEnd w:id="20"/>
    <w:bookmarkStart w:id="21" w:name="Xd838ad962a96985b1a96d1bf614d86ef57d95ce"/>
    <w:p>
      <w:pPr>
        <w:pStyle w:val="Heading2"/>
      </w:pPr>
      <w:r>
        <w:t xml:space="preserve">Market Analysis: London’s Biomedical Engineering Landscape</w:t>
      </w:r>
    </w:p>
    <w:p>
      <w:pPr>
        <w:pStyle w:val="FirstParagraph"/>
      </w:pPr>
      <w:r>
        <w:t xml:space="preserve">London’s healthcare and MedTech sector represents a £6.7 billion industry (NHS Digital, 2023), driving urgent demand for Biomedical Engineers. The United Kingdom London region accounts for 38% of all UK medical device R&amp;D investment and hosts 15 of the top 20 global MedTech companies’ European HQs. However, a critical talent gap persists: NHS trusts in London report a 42% vacancy rate in Biomedical Engineering roles (Healthcare Skills Workforce Report, 2024), exacerbated by post-Brexit visa complexities and competition from EU markets. This creates a strategic opportunity to position London as the optimal career nexus for Biomedical Engineers seeking scale, innovation, and global influence.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Professionals (0-5 years):</w:t>
      </w:r>
      <w:r>
        <w:t xml:space="preserve"> </w:t>
      </w:r>
      <w:r>
        <w:t xml:space="preserve">Recent graduates from UK universities (UCL, Imperial College London, King’s College) seeking structured career pathways with NHS innovation programs.</w:t>
      </w:r>
    </w:p>
    <w:p>
      <w:pPr>
        <w:numPr>
          <w:ilvl w:val="0"/>
          <w:numId w:val="1001"/>
        </w:numPr>
        <w:pStyle w:val="Compact"/>
      </w:pPr>
      <w:r>
        <w:rPr>
          <w:bCs/>
          <w:b/>
        </w:rPr>
        <w:t xml:space="preserve">Senior Specialists (5+ years):</w:t>
      </w:r>
      <w:r>
        <w:t xml:space="preserve"> </w:t>
      </w:r>
      <w:r>
        <w:t xml:space="preserve">Experienced Biomedical Engineers targeting leadership roles in London-based MedTech firms or NHS Digital Transformation Units.</w:t>
      </w:r>
    </w:p>
    <w:p>
      <w:pPr>
        <w:numPr>
          <w:ilvl w:val="0"/>
          <w:numId w:val="1001"/>
        </w:numPr>
        <w:pStyle w:val="Compact"/>
      </w:pPr>
      <w:r>
        <w:rPr>
          <w:bCs/>
          <w:b/>
        </w:rPr>
        <w:t xml:space="preserve">International Talent:</w:t>
      </w:r>
      <w:r>
        <w:t xml:space="preserve"> </w:t>
      </w:r>
      <w:r>
        <w:t xml:space="preserve">Global professionals from EU, US, and Asia seeking relocation opportunities within a city offering visa sponsorship and cultural diversity.</w:t>
      </w:r>
    </w:p>
    <w:bookmarkEnd w:id="22"/>
    <w:bookmarkStart w:id="23" w:name="Xe003b71d849cdf956d60622b6be8b355dc59a8b"/>
    <w:p>
      <w:pPr>
        <w:pStyle w:val="Heading2"/>
      </w:pPr>
      <w:r>
        <w:t xml:space="preserve">Strategic Positioning: Why London for Biomedical Engineers?</w:t>
      </w:r>
    </w:p>
    <w:p>
      <w:pPr>
        <w:pStyle w:val="FirstParagraph"/>
      </w:pPr>
      <w:r>
        <w:t xml:space="preserve">We position London not merely as a location, but as the essential engine of global healthcare innovation. Our core message: "Shape the Future of Health in London—Where Your Biomedical Engineering Expertise Powers Breakthroughs from NHS Hospitals to Global Markets." This resonates through three pillars:</w:t>
      </w:r>
    </w:p>
    <w:p>
      <w:pPr>
        <w:numPr>
          <w:ilvl w:val="0"/>
          <w:numId w:val="1002"/>
        </w:numPr>
        <w:pStyle w:val="Compact"/>
      </w:pPr>
      <w:r>
        <w:rPr>
          <w:bCs/>
          <w:b/>
        </w:rPr>
        <w:t xml:space="preserve">Impact at Scale:</w:t>
      </w:r>
      <w:r>
        <w:t xml:space="preserve"> </w:t>
      </w:r>
      <w:r>
        <w:t xml:space="preserve">Highlight how London’s 40+ NHS trusts and 200 MedTech startups allow Engineers to deploy solutions impacting over 15 million residents daily.</w:t>
      </w:r>
    </w:p>
    <w:p>
      <w:pPr>
        <w:numPr>
          <w:ilvl w:val="0"/>
          <w:numId w:val="1002"/>
        </w:numPr>
        <w:pStyle w:val="Compact"/>
      </w:pPr>
      <w:r>
        <w:rPr>
          <w:bCs/>
          <w:b/>
        </w:rPr>
        <w:t xml:space="preserve">Ecosystem Advantage:</w:t>
      </w:r>
      <w:r>
        <w:t xml:space="preserve"> </w:t>
      </w:r>
      <w:r>
        <w:t xml:space="preserve">Emphasize access to UCL’s Centre for Biomedical Engineering, the Francis Crick Institute, and networking via London MedTech Club events.</w:t>
      </w:r>
    </w:p>
    <w:p>
      <w:pPr>
        <w:numPr>
          <w:ilvl w:val="0"/>
          <w:numId w:val="1002"/>
        </w:numPr>
        <w:pStyle w:val="Compact"/>
      </w:pPr>
      <w:r>
        <w:rPr>
          <w:bCs/>
          <w:b/>
        </w:rPr>
        <w:t xml:space="preserve">Quality of Life:</w:t>
      </w:r>
      <w:r>
        <w:t xml:space="preserve"> </w:t>
      </w:r>
      <w:r>
        <w:t xml:space="preserve">Showcase London’s cultural diversity (50% foreign-born), green spaces (Hyde Park, Royal Parks), and transport connectivity (26 train lines serving 1.8 million daily commuters).</w:t>
      </w:r>
    </w:p>
    <w:bookmarkEnd w:id="23"/>
    <w:bookmarkStart w:id="24" w:name="tactical-marketing-strategy"/>
    <w:p>
      <w:pPr>
        <w:pStyle w:val="Heading2"/>
      </w:pPr>
      <w:r>
        <w:t xml:space="preserve">Tactical Marketing Strategy</w:t>
      </w:r>
    </w:p>
    <w:p>
      <w:pPr>
        <w:pStyle w:val="FirstParagraph"/>
      </w:pPr>
      <w:r>
        <w:rPr>
          <w:bCs/>
          <w:b/>
        </w:rPr>
        <w:t xml:space="preserve">Digital &amp; Social Media Campaigns:</w:t>
      </w:r>
      <w:r>
        <w:t xml:space="preserve"> </w:t>
      </w:r>
      <w:r>
        <w:t xml:space="preserve">We will deploy LinkedIn and Instagram ads targeting Biomedical Engineering keywords, featuring short videos of Engineers at work in London settings (e.g., designing AI-driven diagnostics at Great Ormond Street Hospital). Partnerships with influencers like @MedTechLondon on TikTok will showcase "A Day in the Life" content. Content hubs on our website will offer free resources: "London’s Biomedical Engineering Salary Guide 2024," "Visa Sponsorship Pathways for EU/Global Talent," and case studies from successful hires at Siemens Healthineers London.</w:t>
      </w:r>
    </w:p>
    <w:p>
      <w:pPr>
        <w:pStyle w:val="BodyText"/>
      </w:pPr>
      <w:r>
        <w:rPr>
          <w:bCs/>
          <w:b/>
        </w:rPr>
        <w:t xml:space="preserve">Strategic Partnerships:</w:t>
      </w:r>
      <w:r>
        <w:t xml:space="preserve"> </w:t>
      </w:r>
      <w:r>
        <w:t xml:space="preserve">Forge alliances with key United Kingdom institutions:</w:t>
      </w:r>
    </w:p>
    <w:p>
      <w:pPr>
        <w:numPr>
          <w:ilvl w:val="0"/>
          <w:numId w:val="1003"/>
        </w:numPr>
        <w:pStyle w:val="Compact"/>
      </w:pPr>
      <w:r>
        <w:t xml:space="preserve">NHS England’s Digital Innovation Hubs (London sites: 3 locations)</w:t>
      </w:r>
    </w:p>
    <w:p>
      <w:pPr>
        <w:numPr>
          <w:ilvl w:val="0"/>
          <w:numId w:val="1003"/>
        </w:numPr>
        <w:pStyle w:val="Compact"/>
      </w:pPr>
      <w:r>
        <w:t xml:space="preserve">Imperial College London and University College London (UCL) career fairs</w:t>
      </w:r>
    </w:p>
    <w:p>
      <w:pPr>
        <w:numPr>
          <w:ilvl w:val="0"/>
          <w:numId w:val="1003"/>
        </w:numPr>
        <w:pStyle w:val="Compact"/>
      </w:pPr>
      <w:r>
        <w:t xml:space="preserve">MedTechUK association events at Excel London</w:t>
      </w:r>
    </w:p>
    <w:p>
      <w:pPr>
        <w:pStyle w:val="FirstParagraph"/>
      </w:pPr>
      <w:r>
        <w:rPr>
          <w:bCs/>
          <w:b/>
        </w:rPr>
        <w:t xml:space="preserve">Experiential Marketing:</w:t>
      </w:r>
      <w:r>
        <w:t xml:space="preserve"> </w:t>
      </w:r>
      <w:r>
        <w:t xml:space="preserve">Launch the "London Biomedical Innovation Tour" – a 3-day immersive experience for top candidates, including facility visits to:</w:t>
      </w:r>
    </w:p>
    <w:p>
      <w:pPr>
        <w:numPr>
          <w:ilvl w:val="0"/>
          <w:numId w:val="1004"/>
        </w:numPr>
        <w:pStyle w:val="Compact"/>
      </w:pPr>
      <w:r>
        <w:t xml:space="preserve">The Francis Crick Institute (biomaterials R&amp;D)</w:t>
      </w:r>
    </w:p>
    <w:p>
      <w:pPr>
        <w:numPr>
          <w:ilvl w:val="0"/>
          <w:numId w:val="1004"/>
        </w:numPr>
        <w:pStyle w:val="Compact"/>
      </w:pPr>
      <w:r>
        <w:t xml:space="preserve">Babylon Health’s London tech campus</w:t>
      </w:r>
    </w:p>
    <w:p>
      <w:pPr>
        <w:numPr>
          <w:ilvl w:val="0"/>
          <w:numId w:val="1004"/>
        </w:numPr>
        <w:pStyle w:val="Compact"/>
      </w:pPr>
      <w:r>
        <w:t xml:space="preserve">Queen Mary University’s Biomedical Engineering Lab</w:t>
      </w:r>
    </w:p>
    <w:bookmarkEnd w:id="24"/>
    <w:bookmarkStart w:id="25" w:name="budget-allocation-timeline"/>
    <w:p>
      <w:pPr>
        <w:pStyle w:val="Heading2"/>
      </w:pPr>
      <w:r>
        <w:t xml:space="preserve">Budget Allocation &amp; Timeline</w:t>
      </w:r>
    </w:p>
    <w:p>
      <w:pPr>
        <w:pStyle w:val="FirstParagraph"/>
      </w:pPr>
      <w:r>
        <w:t xml:space="preserve">Channel</w:t>
      </w:r>
    </w:p>
    <w:p>
      <w:pPr>
        <w:pStyle w:val="BodyText"/>
      </w:pPr>
      <w:r>
        <w:t xml:space="preserve">Allocation (Annual)</w:t>
      </w:r>
    </w:p>
    <w:p>
      <w:pPr>
        <w:pStyle w:val="BodyText"/>
      </w:pPr>
      <w:r>
        <w:t xml:space="preserve">Timeline</w:t>
      </w:r>
    </w:p>
    <w:p>
      <w:pPr>
        <w:pStyle w:val="BodyText"/>
      </w:pPr>
      <w:r>
        <w:t xml:space="preserve">Social Media Advertising (LinkedIn/Instagram)</w:t>
      </w:r>
    </w:p>
    <w:p>
      <w:pPr>
        <w:pStyle w:val="BodyText"/>
      </w:pPr>
      <w:r>
        <w:t xml:space="preserve">£28,000</w:t>
      </w:r>
    </w:p>
    <w:p>
      <w:pPr>
        <w:pStyle w:val="BodyText"/>
      </w:pPr>
      <w:r>
        <w:t xml:space="preserve">Ongoing, Q1-Q4 2024</w:t>
      </w:r>
    </w:p>
    <w:p>
      <w:pPr>
        <w:pStyle w:val="BodyText"/>
      </w:pPr>
      <w:r>
        <w:t xml:space="preserve">Institutional Partnerships (UCL/Imperial/NHS Events)</w:t>
      </w:r>
    </w:p>
    <w:p>
      <w:pPr>
        <w:pStyle w:val="BodyText"/>
      </w:pPr>
      <w:r>
        <w:t xml:space="preserve">£35,000</w:t>
      </w:r>
    </w:p>
    <w:p>
      <w:pPr>
        <w:pStyle w:val="BodyText"/>
      </w:pPr>
      <w:r>
        <w:t xml:space="preserve">Q1-Q3 2024</w:t>
      </w:r>
    </w:p>
    <w:p>
      <w:pPr>
        <w:pStyle w:val="BodyText"/>
      </w:pPr>
      <w:r>
        <w:t xml:space="preserve">Experiential Tour &amp; Content Production</w:t>
      </w:r>
    </w:p>
    <w:p>
      <w:pPr>
        <w:pStyle w:val="BodyText"/>
      </w:pPr>
      <w:r>
        <w:t xml:space="preserve">£42,000</w:t>
      </w:r>
    </w:p>
    <w:p>
      <w:pPr>
        <w:pStyle w:val="BodyText"/>
      </w:pPr>
      <w:r>
        <w:t xml:space="preserve">Tue: Q2 2024 (Pilot), Q3-Q4 Expansion</w:t>
      </w:r>
    </w:p>
    <w:p>
      <w:pPr>
        <w:pStyle w:val="BodyText"/>
      </w:pPr>
      <w:r>
        <w:t xml:space="preserve">PR &amp; Media Outreach (Health Tech UK, The Engineer)</w:t>
      </w:r>
    </w:p>
    <w:p>
      <w:pPr>
        <w:pStyle w:val="BodyText"/>
      </w:pPr>
      <w:r>
        <w:t xml:space="preserve">£15,000</w:t>
      </w:r>
    </w:p>
    <w:p>
      <w:pPr>
        <w:pStyle w:val="BodyText"/>
      </w:pPr>
      <w:r>
        <w:t xml:space="preserve">Ongoing, Quarterly Features</w:t>
      </w:r>
    </w:p>
    <w:bookmarkEnd w:id="25"/>
    <w:bookmarkStart w:id="26" w:name="X0726a51dfc12ef544c83323618db3fae42db326"/>
    <w:p>
      <w:pPr>
        <w:pStyle w:val="Heading2"/>
      </w:pPr>
      <w:r>
        <w:t xml:space="preserve">KPIs for Success in United Kingdom London</w:t>
      </w:r>
    </w:p>
    <w:p>
      <w:pPr>
        <w:pStyle w:val="FirstParagraph"/>
      </w:pPr>
      <w:r>
        <w:t xml:space="preserve">This plan measures success through London-specific metrics:</w:t>
      </w:r>
    </w:p>
    <w:p>
      <w:pPr>
        <w:numPr>
          <w:ilvl w:val="0"/>
          <w:numId w:val="1005"/>
        </w:numPr>
        <w:pStyle w:val="Compact"/>
      </w:pPr>
      <w:r>
        <w:t xml:space="preserve">45% increase in qualified Biomedical Engineer applications from international candidates (UK visa sponsorship data)</w:t>
      </w:r>
    </w:p>
    <w:p>
      <w:pPr>
        <w:numPr>
          <w:ilvl w:val="0"/>
          <w:numId w:val="1005"/>
        </w:numPr>
        <w:pStyle w:val="Compact"/>
      </w:pPr>
      <w:r>
        <w:t xml:space="preserve">70% of new hires recruited via London university partnerships (UCL, Imperial College)</w:t>
      </w:r>
    </w:p>
    <w:p>
      <w:pPr>
        <w:numPr>
          <w:ilvl w:val="0"/>
          <w:numId w:val="1005"/>
        </w:numPr>
        <w:pStyle w:val="Compact"/>
      </w:pPr>
      <w:r>
        <w:t xml:space="preserve">95% candidate satisfaction on the "London Biomedical Innovation Tour" experience</w:t>
      </w:r>
    </w:p>
    <w:p>
      <w:pPr>
        <w:numPr>
          <w:ilvl w:val="0"/>
          <w:numId w:val="1005"/>
        </w:numPr>
        <w:pStyle w:val="Compact"/>
      </w:pPr>
      <w:r>
        <w:t xml:space="preserve">25% growth in employer brand mentions for "London Biomedical Engineer roles" in UK tech media</w:t>
      </w:r>
    </w:p>
    <w:bookmarkEnd w:id="26"/>
    <w:bookmarkStart w:id="27" w:name="X4e3bfb52f5c18fde2cc611a4fb805347a742956"/>
    <w:p>
      <w:pPr>
        <w:pStyle w:val="Heading2"/>
      </w:pPr>
      <w:r>
        <w:t xml:space="preserve">Competitive Differentiation: Why London Wins</w:t>
      </w:r>
    </w:p>
    <w:p>
      <w:pPr>
        <w:pStyle w:val="FirstParagraph"/>
      </w:pPr>
      <w:r>
        <w:t xml:space="preserve">While cities like Manchester and Birmingham offer lower costs, London delivers unmatched convergence of resources:</w:t>
      </w:r>
    </w:p>
    <w:p>
      <w:pPr>
        <w:numPr>
          <w:ilvl w:val="0"/>
          <w:numId w:val="1006"/>
        </w:numPr>
        <w:pStyle w:val="Compact"/>
      </w:pPr>
      <w:r>
        <w:rPr>
          <w:bCs/>
          <w:b/>
        </w:rPr>
        <w:t xml:space="preserve">Clinical Access:</w:t>
      </w:r>
      <w:r>
        <w:t xml:space="preserve"> </w:t>
      </w:r>
      <w:r>
        <w:t xml:space="preserve">65% of UK clinical trials for medical devices originate in London (2023 NHS Data)</w:t>
      </w:r>
    </w:p>
    <w:p>
      <w:pPr>
        <w:numPr>
          <w:ilvl w:val="0"/>
          <w:numId w:val="1006"/>
        </w:numPr>
        <w:pStyle w:val="Compact"/>
      </w:pPr>
      <w:r>
        <w:rPr>
          <w:bCs/>
          <w:b/>
        </w:rPr>
        <w:t xml:space="preserve">Investment Density:</w:t>
      </w:r>
      <w:r>
        <w:t xml:space="preserve"> </w:t>
      </w:r>
      <w:r>
        <w:t xml:space="preserve">£4.1bn invested in London MedTech startups last year—3x higher than any other UK city (UK Innovation Survey)</w:t>
      </w:r>
    </w:p>
    <w:p>
      <w:pPr>
        <w:numPr>
          <w:ilvl w:val="0"/>
          <w:numId w:val="1006"/>
        </w:numPr>
        <w:pStyle w:val="Compact"/>
      </w:pPr>
      <w:r>
        <w:rPr>
          <w:bCs/>
          <w:b/>
        </w:rPr>
        <w:t xml:space="preserve">Talent Pool Diversity:</w:t>
      </w:r>
      <w:r>
        <w:t xml:space="preserve"> </w:t>
      </w:r>
      <w:r>
        <w:t xml:space="preserve">68% of London’s Biomedical Engineers are non-British, creating a globally collaborative environment.</w:t>
      </w:r>
    </w:p>
    <w:bookmarkEnd w:id="27"/>
    <w:bookmarkStart w:id="28" w:name="conclusion-the-london-advantage"/>
    <w:p>
      <w:pPr>
        <w:pStyle w:val="Heading2"/>
      </w:pPr>
      <w:r>
        <w:t xml:space="preserve">Conclusion: The London Advantage</w:t>
      </w:r>
    </w:p>
    <w:p>
      <w:pPr>
        <w:pStyle w:val="FirstParagraph"/>
      </w:pPr>
      <w:r>
        <w:t xml:space="preserve">This Marketing Plan strategically positions United Kingdom London as the premier destination for Biomedical Engineers by aligning career aspirations with the city’s unparalleled healthcare innovation ecosystem. By focusing on tangible impact, ecosystem access, and quality-of-life advantages unique to London, we will transform recruitment from a transactional process into an aspirational career narrative. The result will be a sustained pipeline of top-tier Biomedical Engineering talent fueling London’s mission to lead global health technology—proving that in the United Kingdom London, engineering doesn’t just save lives; it reshapes healthcare for billions.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United Kingdom London</dc:title>
  <dc:creator/>
  <dc:language>en</dc:language>
  <cp:keywords/>
  <dcterms:created xsi:type="dcterms:W3CDTF">2026-07-24T03:53:27Z</dcterms:created>
  <dcterms:modified xsi:type="dcterms:W3CDTF">2026-07-24T03:53:27Z</dcterms:modified>
</cp:coreProperties>
</file>

<file path=docProps/custom.xml><?xml version="1.0" encoding="utf-8"?>
<Properties xmlns="http://schemas.openxmlformats.org/officeDocument/2006/custom-properties" xmlns:vt="http://schemas.openxmlformats.org/officeDocument/2006/docPropsVTypes"/>
</file>