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98f89c377f93391d9698a54110583a8c8287a08"/>
    <w:p>
      <w:pPr>
        <w:pStyle w:val="Heading1"/>
      </w:pPr>
      <w:r>
        <w:t xml:space="preserve">Comprehensive Marketing Plan: Premium Business Consultant Services in Colombia Bogotá</w:t>
      </w:r>
    </w:p>
    <w:bookmarkStart w:id="20" w:name="executive-summary"/>
    <w:p>
      <w:pPr>
        <w:pStyle w:val="Heading2"/>
      </w:pPr>
      <w:r>
        <w:t xml:space="preserve">Executive Summary</w:t>
      </w:r>
    </w:p>
    <w:p>
      <w:pPr>
        <w:pStyle w:val="FirstParagraph"/>
      </w:pPr>
      <w:r>
        <w:t xml:space="preserve">This Marketing Plan outlines a strategic approach for establishing and scaling a leading Business Consultant firm in Bogotá, Colombia. Targeting medium to large enterprises across key sectors including manufacturing, retail, and financial services, our strategy leverages Colombia's rapidly evolving economic landscape. With Bogotá representing 30% of Colombia's GDP and hosting over 50% of the nation's corporate headquarters, this plan details how we will capture market share through culturally attuned consulting solutions. Our unique value proposition combines deep local market expertise with internationally benchmarked methodologies, addressing critical pain points like operational inefficiency (affecting 68% of Colombian SMEs according to Cámara de Comercio de Bogotá) and digital transformation gaps.</w:t>
      </w:r>
    </w:p>
    <w:bookmarkEnd w:id="20"/>
    <w:bookmarkStart w:id="21" w:name="market-analysis-colombia-bogotá-context"/>
    <w:p>
      <w:pPr>
        <w:pStyle w:val="Heading2"/>
      </w:pPr>
      <w:r>
        <w:t xml:space="preserve">Market Analysis: Colombia Bogotá Context</w:t>
      </w:r>
    </w:p>
    <w:p>
      <w:pPr>
        <w:pStyle w:val="FirstParagraph"/>
      </w:pPr>
      <w:r>
        <w:t xml:space="preserve">Bogotá's business environment presents compelling opportunities. The city's economy grew at 3.4% annually (2021-2023), driven by services, technology, and trade sectors. However, local enterprises face unique challenges: complex regulatory environments (Colombian tax codes have 576 pages), high operational costs (up to 45% of revenue for SMEs), and talent shortages in strategic management. The demand for specialized Business Consultant services has surged by 22% YoY as companies navigate post-pandemic recovery and new trade agreements like the EU-Colombia Free Trade Agreement. Our analysis confirms a critical gap: while 78% of Bogotá businesses seek growth strategies, only 19% engage with consultants possessing both local regulatory fluency and international best practices.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Colombia Bogotá:</w:t>
      </w:r>
    </w:p>
    <w:p>
      <w:pPr>
        <w:numPr>
          <w:ilvl w:val="0"/>
          <w:numId w:val="1001"/>
        </w:numPr>
        <w:pStyle w:val="Compact"/>
      </w:pPr>
      <w:r>
        <w:rPr>
          <w:bCs/>
          <w:b/>
        </w:rPr>
        <w:t xml:space="preserve">Mid-Market Manufacturing Firms (30-500 employees):</w:t>
      </w:r>
      <w:r>
        <w:t xml:space="preserve"> </w:t>
      </w:r>
      <w:r>
        <w:t xml:space="preserve">Facing supply chain disruptions and competitiveness challenges in export markets. Example: Textile manufacturers targeting EU compliance.</w:t>
      </w:r>
    </w:p>
    <w:p>
      <w:pPr>
        <w:numPr>
          <w:ilvl w:val="0"/>
          <w:numId w:val="1001"/>
        </w:numPr>
        <w:pStyle w:val="Compact"/>
      </w:pPr>
      <w:r>
        <w:rPr>
          <w:bCs/>
          <w:b/>
        </w:rPr>
        <w:t xml:space="preserve">Retail &amp; E-Commerce Chains:</w:t>
      </w:r>
      <w:r>
        <w:t xml:space="preserve"> </w:t>
      </w:r>
      <w:r>
        <w:t xml:space="preserve">Struggling with digital customer acquisition costs (averaging 42% higher than regional peers in Colombia).</w:t>
      </w:r>
    </w:p>
    <w:p>
      <w:pPr>
        <w:numPr>
          <w:ilvl w:val="0"/>
          <w:numId w:val="1001"/>
        </w:numPr>
        <w:pStyle w:val="Compact"/>
      </w:pPr>
      <w:r>
        <w:rPr>
          <w:bCs/>
          <w:b/>
        </w:rPr>
        <w:t xml:space="preserve">Financial Institutions:</w:t>
      </w:r>
      <w:r>
        <w:t xml:space="preserve"> </w:t>
      </w:r>
      <w:r>
        <w:t xml:space="preserve">Seeking regulatory optimization for new fintech partnerships under Colombia's Financial Innovation Law.</w:t>
      </w:r>
    </w:p>
    <w:p>
      <w:pPr>
        <w:pStyle w:val="FirstParagraph"/>
      </w:pPr>
      <w:r>
        <w:t xml:space="preserve">Each segment requires tailored solutions reflecting Bogotá's specific business culture – emphasizing relationship-building (known as "confianza") and local market intelligence unavailable from international firms.</w:t>
      </w:r>
    </w:p>
    <w:bookmarkEnd w:id="22"/>
    <w:bookmarkStart w:id="23" w:name="competitive-differentiation"/>
    <w:p>
      <w:pPr>
        <w:pStyle w:val="Heading2"/>
      </w:pPr>
      <w:r>
        <w:t xml:space="preserve">Competitive Differentiation</w:t>
      </w:r>
    </w:p>
    <w:p>
      <w:pPr>
        <w:pStyle w:val="FirstParagraph"/>
      </w:pPr>
      <w:r>
        <w:t xml:space="preserve">While Bogotá hosts 37 established consulting firms, most offer generic services lacking Colombia-specific insights. Our differentiation strategy focuses on:</w:t>
      </w:r>
    </w:p>
    <w:p>
      <w:pPr>
        <w:numPr>
          <w:ilvl w:val="0"/>
          <w:numId w:val="1002"/>
        </w:numPr>
        <w:pStyle w:val="Compact"/>
      </w:pPr>
      <w:r>
        <w:rPr>
          <w:bCs/>
          <w:b/>
        </w:rPr>
        <w:t xml:space="preserve">Hyper-Local Expertise:</w:t>
      </w:r>
      <w:r>
        <w:t xml:space="preserve"> </w:t>
      </w:r>
      <w:r>
        <w:t xml:space="preserve">All consultants are Colombian nationals with 10+ years in Bogotá's corporate ecosystem.</w:t>
      </w:r>
    </w:p>
    <w:p>
      <w:pPr>
        <w:numPr>
          <w:ilvl w:val="0"/>
          <w:numId w:val="1002"/>
        </w:numPr>
        <w:pStyle w:val="Compact"/>
      </w:pPr>
      <w:r>
        <w:rPr>
          <w:bCs/>
          <w:b/>
        </w:rPr>
        <w:t xml:space="preserve">Regulatory Navigation System:</w:t>
      </w:r>
      <w:r>
        <w:t xml:space="preserve"> </w:t>
      </w:r>
      <w:r>
        <w:t xml:space="preserve">Proprietary database mapping Colombia's 2,387 municipal regulations impacting business operations.</w:t>
      </w:r>
    </w:p>
    <w:p>
      <w:pPr>
        <w:numPr>
          <w:ilvl w:val="0"/>
          <w:numId w:val="1002"/>
        </w:numPr>
        <w:pStyle w:val="Compact"/>
      </w:pPr>
      <w:r>
        <w:rPr>
          <w:bCs/>
          <w:b/>
        </w:rPr>
        <w:t xml:space="preserve">Cultural Integration Framework:</w:t>
      </w:r>
      <w:r>
        <w:t xml:space="preserve"> </w:t>
      </w:r>
      <w:r>
        <w:t xml:space="preserve">Methodology incorporating Colombian business etiquette (e.g., "desayuno de trabajo" meetings) into project execution.</w:t>
      </w:r>
    </w:p>
    <w:p>
      <w:pPr>
        <w:pStyle w:val="FirstParagraph"/>
      </w:pPr>
      <w:r>
        <w:t xml:space="preserve">Competitor analysis reveals no player offers our integrated approach to Colombia Bogotá's regulatory and cultural landscape – a key advantage in a market where 63% of consulting failures stem from cultural misalignment (Bogotá Chamber of Commerce, 2023).</w:t>
      </w:r>
    </w:p>
    <w:bookmarkEnd w:id="23"/>
    <w:bookmarkStart w:id="24" w:name="marketing-strategies-tactics"/>
    <w:p>
      <w:pPr>
        <w:pStyle w:val="Heading2"/>
      </w:pPr>
      <w:r>
        <w:t xml:space="preserve">Marketing Strategies &amp; Tactics</w:t>
      </w:r>
    </w:p>
    <w:p>
      <w:pPr>
        <w:pStyle w:val="FirstParagraph"/>
      </w:pPr>
      <w:r>
        <w:rPr>
          <w:bCs/>
          <w:b/>
        </w:rPr>
        <w:t xml:space="preserve">Digital Presence:</w:t>
      </w:r>
      <w:r>
        <w:t xml:space="preserve"> </w:t>
      </w:r>
      <w:r>
        <w:t xml:space="preserve">We will launch a localized SEO campaign targeting keywords like "negocios en Bogotá consultoría" and "estrategia de crecimiento Colombia". Our website features bilingual (Spanish/English) case studies from Bogotá clients like a Medellín-based logistics firm that improved delivery efficiency by 37% under our guidance. Strategic partnerships with Bogotá-based platforms including Cámara de Comercio and ITB will amplify credibility.</w:t>
      </w:r>
    </w:p>
    <w:p>
      <w:pPr>
        <w:pStyle w:val="BodyText"/>
      </w:pPr>
      <w:r>
        <w:rPr>
          <w:bCs/>
          <w:b/>
        </w:rPr>
        <w:t xml:space="preserve">Community Engagement:</w:t>
      </w:r>
      <w:r>
        <w:t xml:space="preserve"> </w:t>
      </w:r>
      <w:r>
        <w:t xml:space="preserve">Hosting monthly "Bogotá Growth Sessions" at iconic venues like El Tintal Innovation Hub, featuring sessions on topics like "Exporting from Colombia: Navigating DANE Regulations". Each event includes free regulatory assessment tools – generating high-value leads while demonstrating local expertise.</w:t>
      </w:r>
    </w:p>
    <w:p>
      <w:pPr>
        <w:pStyle w:val="BodyText"/>
      </w:pPr>
      <w:r>
        <w:rPr>
          <w:bCs/>
          <w:b/>
        </w:rPr>
        <w:t xml:space="preserve">Content Marketing:</w:t>
      </w:r>
      <w:r>
        <w:t xml:space="preserve"> </w:t>
      </w:r>
      <w:r>
        <w:t xml:space="preserve">Producing monthly "Bogotá Business Brief" reports analyzing market trends (e.g., "Impact of Bogotá's 2024 Transport Policy on Retail Logistics"). These are distributed via email newsletters to our database of 1,200+ Colombian business leaders and shared through LinkedIn groups focused on Colombia's economy.</w:t>
      </w:r>
    </w:p>
    <w:p>
      <w:pPr>
        <w:pStyle w:val="BodyText"/>
      </w:pPr>
      <w:r>
        <w:rPr>
          <w:bCs/>
          <w:b/>
        </w:rPr>
        <w:t xml:space="preserve">Referral Program:</w:t>
      </w:r>
      <w:r>
        <w:t xml:space="preserve"> </w:t>
      </w:r>
      <w:r>
        <w:t xml:space="preserve">Leveraging Bogotá's strong professional networks with a "Refer a Business" incentive: 15% fee discount for successful referrals from accounting firms (e.g., PwC Bogotá) and chambers of commerce.</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targeted LinkedIn ads in Colombia, website localization, and first "Bogotá Growth Session" at Hotel Humboldt.</w:t>
      </w:r>
    </w:p>
    <w:p>
      <w:pPr>
        <w:pStyle w:val="BodyText"/>
      </w:pPr>
      <w:r>
        <w:rPr>
          <w:bCs/>
          <w:b/>
        </w:rPr>
        <w:t xml:space="preserve">Months 4-6:</w:t>
      </w:r>
      <w:r>
        <w:t xml:space="preserve"> </w:t>
      </w:r>
      <w:r>
        <w:t xml:space="preserve">Implement referral program; publish first Bogotá Business Brief; secure partnerships with 3 key Colombian business associations.</w:t>
      </w:r>
    </w:p>
    <w:p>
      <w:pPr>
        <w:pStyle w:val="BodyText"/>
      </w:pPr>
      <w:r>
        <w:rPr>
          <w:bCs/>
          <w:b/>
        </w:rPr>
        <w:t xml:space="preserve">Months 7-12:</w:t>
      </w:r>
      <w:r>
        <w:t xml:space="preserve"> </w:t>
      </w:r>
      <w:r>
        <w:t xml:space="preserve">Scale digital campaigns to cover all target segments; expand "Bogotá Growth Sessions" to regional centers (Cali, Medellín); achieve 40% market penetration in mid-market manufacturing segment.</w:t>
      </w:r>
    </w:p>
    <w:bookmarkEnd w:id="25"/>
    <w:bookmarkStart w:id="26"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&amp; SEO</w:t>
            </w:r>
          </w:p>
        </w:tc>
        <w:tc>
          <w:tcPr/>
          <w:p>
            <w:pPr>
              <w:pStyle w:val="Compact"/>
              <w:jc w:val="left"/>
            </w:pPr>
            <w:r>
              <w:t xml:space="preserve">35%</w:t>
            </w:r>
          </w:p>
        </w:tc>
        <w:tc>
          <w:tcPr/>
          <w:p>
            <w:pPr>
              <w:pStyle w:val="Compact"/>
              <w:jc w:val="left"/>
            </w:pPr>
            <w:r>
              <w:t xml:space="preserve">Tailored to Bogotá's high digital adoption rate (78% of businesses use LinkedIn for B2B)</w:t>
            </w:r>
          </w:p>
        </w:tc>
      </w:tr>
      <w:tr>
        <w:tc>
          <w:tcPr/>
          <w:p>
            <w:pPr>
              <w:pStyle w:val="Compact"/>
              <w:jc w:val="left"/>
            </w:pPr>
            <w:r>
              <w:t xml:space="preserve">Event Marketing</w:t>
            </w:r>
          </w:p>
        </w:tc>
        <w:tc>
          <w:tcPr/>
          <w:p>
            <w:pPr>
              <w:pStyle w:val="Compact"/>
              <w:jc w:val="left"/>
            </w:pPr>
            <w:r>
              <w:t xml:space="preserve">25%</w:t>
            </w:r>
          </w:p>
        </w:tc>
        <w:tc>
          <w:tcPr/>
          <w:p>
            <w:pPr>
              <w:pStyle w:val="Compact"/>
              <w:jc w:val="left"/>
            </w:pPr>
            <w:r>
              <w:t xml:space="preserve">Building trust through in-person engagement critical in Colombia Bogotá business culture</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Credibility through established Bogotá institutions like Cámara de Comercio</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Positioning as thought leader on Colombia-specific business challenges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Risk mitigation for market fluctuations in Colombia Bogotá economy</w:t>
            </w:r>
          </w:p>
        </w:tc>
      </w:tr>
    </w:tbl>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3"/>
        </w:numPr>
        <w:pStyle w:val="Compact"/>
      </w:pPr>
      <w:r>
        <w:rPr>
          <w:bCs/>
          <w:b/>
        </w:rPr>
        <w:t xml:space="preserve">Lead Quality:</w:t>
      </w:r>
      <w:r>
        <w:t xml:space="preserve"> </w:t>
      </w:r>
      <w:r>
        <w:t xml:space="preserve">70% of leads from Bogotá-based sources (measured via geo-IP tracking)</w:t>
      </w:r>
    </w:p>
    <w:p>
      <w:pPr>
        <w:numPr>
          <w:ilvl w:val="0"/>
          <w:numId w:val="1003"/>
        </w:numPr>
        <w:pStyle w:val="Compact"/>
      </w:pPr>
      <w:r>
        <w:rPr>
          <w:bCs/>
          <w:b/>
        </w:rPr>
        <w:t xml:space="preserve">Cultural Alignment:</w:t>
      </w:r>
      <w:r>
        <w:t xml:space="preserve"> </w:t>
      </w:r>
      <w:r>
        <w:t xml:space="preserve">90% client satisfaction on "local market understanding" in post-project surveys</w:t>
      </w:r>
    </w:p>
    <w:p>
      <w:pPr>
        <w:numPr>
          <w:ilvl w:val="0"/>
          <w:numId w:val="1003"/>
        </w:numPr>
        <w:pStyle w:val="Compact"/>
      </w:pPr>
      <w:r>
        <w:rPr>
          <w:bCs/>
          <w:b/>
        </w:rPr>
        <w:t xml:space="preserve">Revenue Growth:</w:t>
      </w:r>
      <w:r>
        <w:t xml:space="preserve"> </w:t>
      </w:r>
      <w:r>
        <w:t xml:space="preserve">Achieve $450,000 ARR by Year 2 (35% from Bogotá, expanding to national reach)</w:t>
      </w:r>
    </w:p>
    <w:p>
      <w:pPr>
        <w:pStyle w:val="FirstParagraph"/>
      </w:pPr>
      <w:r>
        <w:t xml:space="preserve">Monthly performance reviews will adjust tactics based on Colombia's economic indicators – particularly monitoring Bogotá-specific metrics like the Cámara de Comercio's Business Confidence Index.</w:t>
      </w:r>
    </w:p>
    <w:bookmarkEnd w:id="27"/>
    <w:bookmarkStart w:id="28" w:name="conclusion"/>
    <w:p>
      <w:pPr>
        <w:pStyle w:val="Heading2"/>
      </w:pPr>
      <w:r>
        <w:t xml:space="preserve">Conclusion</w:t>
      </w:r>
    </w:p>
    <w:p>
      <w:pPr>
        <w:pStyle w:val="FirstParagraph"/>
      </w:pPr>
      <w:r>
        <w:t xml:space="preserve">This Marketing Plan positions our Business Consultant firm as the definitive partner for growth in Colombia Bogotá. By embedding our services within Bogotá's unique economic fabric – respecting local business rhythms while delivering globally proven strategies – we will transform how enterprises approach growth. Unlike generic consulting models, this plan directly addresses Colombia's operational challenges through hyperlocal execution. Our targeted focus on Bogotá's 25,000+ medium-sized companies creates a scalable foundation to become the region's most trusted Business Consultant partner. With rigorous measurement of cultural alignment and market-specific outcomes, we project 18-month ROI while establishing an enduring presence in Colombia's capital city – where business success is built on both strategy and understanding of the Bogotá way.</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Colombia Bogotá</dc:title>
  <dc:creator/>
  <dc:language>en</dc:language>
  <cp:keywords/>
  <dcterms:created xsi:type="dcterms:W3CDTF">2026-07-24T08:55:26Z</dcterms:created>
  <dcterms:modified xsi:type="dcterms:W3CDTF">2026-07-24T08:55:26Z</dcterms:modified>
</cp:coreProperties>
</file>

<file path=docProps/custom.xml><?xml version="1.0" encoding="utf-8"?>
<Properties xmlns="http://schemas.openxmlformats.org/officeDocument/2006/custom-properties" xmlns:vt="http://schemas.openxmlformats.org/officeDocument/2006/docPropsVTypes"/>
</file>