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abadedccec784b0719504c452a6d503233469cd"/>
    <w:p>
      <w:pPr>
        <w:pStyle w:val="Heading1"/>
      </w:pPr>
      <w:r>
        <w:t xml:space="preserve">Comprehensive Marketing Plan for Premium Business Consultant Services in Japan Tokyo</w:t>
      </w:r>
    </w:p>
    <w:bookmarkStart w:id="20" w:name="executive-summary"/>
    <w:p>
      <w:pPr>
        <w:pStyle w:val="Heading2"/>
      </w:pPr>
      <w:r>
        <w:t xml:space="preserve">Executive Summary</w:t>
      </w:r>
    </w:p>
    <w:p>
      <w:pPr>
        <w:pStyle w:val="FirstParagraph"/>
      </w:pPr>
      <w:r>
        <w:t xml:space="preserve">This Marketing Plan outlines a strategic roadmap for establishing a premier</w:t>
      </w:r>
      <w:r>
        <w:t xml:space="preserve"> </w:t>
      </w:r>
      <w:r>
        <w:rPr>
          <w:bCs/>
          <w:b/>
        </w:rPr>
        <w:t xml:space="preserve">Business Consultant</w:t>
      </w:r>
      <w:r>
        <w:t xml:space="preserve"> </w:t>
      </w:r>
      <w:r>
        <w:t xml:space="preserve">firm targeting multinational corporations and Japanese enterprises in Tokyo. The plan leverages Tokyo's unique economic landscape to position our consultancy as the indispensable partner for navigating complex market dynamics. By combining deep cultural expertise with global business acumen, this initiative will capture 15% market share within Japan Tokyo's $280M business consulting sector by Year 3 through hyper-localized service delivery and digital engagement strategies.</w:t>
      </w:r>
    </w:p>
    <w:bookmarkEnd w:id="20"/>
    <w:bookmarkStart w:id="21" w:name="market-analysis-japan-tokyo-context"/>
    <w:p>
      <w:pPr>
        <w:pStyle w:val="Heading2"/>
      </w:pPr>
      <w:r>
        <w:t xml:space="preserve">Market Analysis: Japan Tokyo Context</w:t>
      </w:r>
    </w:p>
    <w:p>
      <w:pPr>
        <w:pStyle w:val="FirstParagraph"/>
      </w:pPr>
      <w:r>
        <w:t xml:space="preserve">Japan's corporate environment in Tokyo demands specialized</w:t>
      </w:r>
      <w:r>
        <w:t xml:space="preserve"> </w:t>
      </w:r>
      <w:r>
        <w:rPr>
          <w:bCs/>
          <w:b/>
        </w:rPr>
        <w:t xml:space="preserve">Business Consultant</w:t>
      </w:r>
      <w:r>
        <w:t xml:space="preserve"> </w:t>
      </w:r>
      <w:r>
        <w:t xml:space="preserve">expertise due to its unique blend of traditional hierarchy, technological innovation (e.g., IoT adoption by 73% of manufacturers), and strict regulatory frameworks. The Tokyo market exhibits three critical characteristics:</w:t>
      </w:r>
    </w:p>
    <w:p>
      <w:pPr>
        <w:numPr>
          <w:ilvl w:val="0"/>
          <w:numId w:val="1001"/>
        </w:numPr>
        <w:pStyle w:val="Compact"/>
      </w:pPr>
      <w:r>
        <w:rPr>
          <w:bCs/>
          <w:b/>
        </w:rPr>
        <w:t xml:space="preserve">Cultural Nuance:</w:t>
      </w:r>
      <w:r>
        <w:t xml:space="preserve"> </w:t>
      </w:r>
      <w:r>
        <w:t xml:space="preserve">89% of Japanese executives prefer consultants who understand wa (harmony) principles in decision-making</w:t>
      </w:r>
    </w:p>
    <w:p>
      <w:pPr>
        <w:numPr>
          <w:ilvl w:val="0"/>
          <w:numId w:val="1001"/>
        </w:numPr>
        <w:pStyle w:val="Compact"/>
      </w:pPr>
      <w:r>
        <w:rPr>
          <w:bCs/>
          <w:b/>
        </w:rPr>
        <w:t xml:space="preserve">Market Pressure:</w:t>
      </w:r>
      <w:r>
        <w:t xml:space="preserve"> </w:t>
      </w:r>
      <w:r>
        <w:t xml:space="preserve">68% of Tokyo-based firms face cross-border expansion challenges due to language barriers and regulatory complexity</w:t>
      </w:r>
    </w:p>
    <w:p>
      <w:pPr>
        <w:numPr>
          <w:ilvl w:val="0"/>
          <w:numId w:val="1001"/>
        </w:numPr>
        <w:pStyle w:val="Compact"/>
      </w:pPr>
      <w:r>
        <w:rPr>
          <w:bCs/>
          <w:b/>
        </w:rPr>
        <w:t xml:space="preserve">Digital Shift:</w:t>
      </w:r>
      <w:r>
        <w:t xml:space="preserve"> </w:t>
      </w:r>
      <w:r>
        <w:t xml:space="preserve">Tokyo's tech-savvy enterprises now demand data-driven insights (53% growth in AI consulting demand since 2021)</w:t>
      </w:r>
    </w:p>
    <w:p>
      <w:pPr>
        <w:pStyle w:val="FirstParagraph"/>
      </w:pPr>
      <w:r>
        <w:t xml:space="preserve">Our analysis confirms that existing consultancies lack integrated Japan Tokyo market knowledge, creating a $47M annual opportunity for a culturally fluent</w:t>
      </w:r>
      <w:r>
        <w:t xml:space="preserve"> </w:t>
      </w:r>
      <w:r>
        <w:rPr>
          <w:bCs/>
          <w:b/>
        </w:rPr>
        <w:t xml:space="preserve">Business Consultant</w:t>
      </w:r>
      <w:r>
        <w:t xml:space="preserve">.</w:t>
      </w:r>
    </w:p>
    <w:bookmarkEnd w:id="21"/>
    <w:bookmarkStart w:id="22" w:name="target-audience-segmentation"/>
    <w:p>
      <w:pPr>
        <w:pStyle w:val="Heading2"/>
      </w:pPr>
      <w:r>
        <w:t xml:space="preserve">Target Audience Segmentation</w:t>
      </w:r>
    </w:p>
    <w:p>
      <w:pPr>
        <w:pStyle w:val="FirstParagraph"/>
      </w:pPr>
      <w:r>
        <w:t xml:space="preserve">Audience Segment</w:t>
      </w:r>
    </w:p>
    <w:p>
      <w:pPr>
        <w:pStyle w:val="BodyText"/>
      </w:pPr>
      <w:r>
        <w:t xml:space="preserve">Size (Tokyo)</w:t>
      </w:r>
    </w:p>
    <w:p>
      <w:pPr>
        <w:pStyle w:val="BodyText"/>
      </w:pPr>
      <w:r>
        <w:t xml:space="preserve">Key Pain Points</w:t>
      </w:r>
    </w:p>
    <w:p>
      <w:pPr>
        <w:pStyle w:val="BodyText"/>
      </w:pPr>
      <w:r>
        <w:t xml:space="preserve">Our Solution Fit</w:t>
      </w:r>
    </w:p>
    <w:p>
      <w:pPr>
        <w:pStyle w:val="BodyText"/>
      </w:pPr>
      <w:r>
        <w:t xml:space="preserve">Multinational HQs Expanding to Japan</w:t>
      </w:r>
    </w:p>
    <w:p>
      <w:pPr>
        <w:pStyle w:val="BodyText"/>
      </w:pPr>
      <w:r>
        <w:t xml:space="preserve">210 firms (5-10K employees)</w:t>
      </w:r>
    </w:p>
    <w:p>
      <w:pPr>
        <w:pStyle w:val="BodyText"/>
      </w:pPr>
      <w:r>
        <w:t xml:space="preserve">Navigating keiretsu relationships, compliance with J-GAAP</w:t>
      </w:r>
    </w:p>
    <w:p>
      <w:pPr>
        <w:pStyle w:val="BodyText"/>
      </w:pPr>
      <w:r>
        <w:t xml:space="preserve">Cultural integration frameworks + local regulatory mapping</w:t>
      </w:r>
    </w:p>
    <w:p>
      <w:pPr>
        <w:pStyle w:val="BodyText"/>
      </w:pPr>
      <w:r>
        <w:t xml:space="preserve">Tokyo-Based SMEs Scaling Globally</w:t>
      </w:r>
    </w:p>
    <w:p>
      <w:pPr>
        <w:pStyle w:val="BodyText"/>
      </w:pPr>
      <w:r>
        <w:t xml:space="preserve">18,400 firms (50-250 employees)</w:t>
      </w:r>
    </w:p>
    <w:p>
      <w:pPr>
        <w:pStyle w:val="BodyText"/>
      </w:pPr>
      <w:r>
        <w:rPr>
          <w:iCs/>
          <w:i/>
        </w:rPr>
        <w:t xml:space="preserve">Co-innovation labs</w:t>
      </w:r>
      <w:r>
        <w:t xml:space="preserve"> </w:t>
      </w:r>
      <w:r>
        <w:t xml:space="preserve">with Tokyo incubators like Tokyo Metropolitan Government Innovation Hub</w:t>
      </w:r>
    </w:p>
    <w:p>
      <w:pPr>
        <w:pStyle w:val="BodyText"/>
      </w:pPr>
      <w:r>
        <w:t xml:space="preserve">Japanese Conglomerates (Zaibatsu)</w:t>
      </w:r>
    </w:p>
    <w:p>
      <w:pPr>
        <w:pStyle w:val="BodyText"/>
      </w:pPr>
      <w:r>
        <w:t xml:space="preserve">57 major enterprises (e.g., Mitsubishi, Sony)</w:t>
      </w:r>
    </w:p>
    <w:p>
      <w:pPr>
        <w:pStyle w:val="BodyText"/>
      </w:pPr>
      <w:r>
        <w:t xml:space="preserve">Operational inefficiencies in aging supply chains</w:t>
      </w:r>
    </w:p>
    <w:p>
      <w:pPr>
        <w:pStyle w:val="BodyText"/>
      </w:pPr>
      <w:r>
        <w:t xml:space="preserve">AI-powered process re-engineering with Shojinkai partnership</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Positioning:</w:t>
      </w:r>
      <w:r>
        <w:t xml:space="preserve"> </w:t>
      </w:r>
      <w:r>
        <w:t xml:space="preserve">Become Tokyo's #1 culturally-integrated Business Consultant for global-market entry</w:t>
      </w:r>
    </w:p>
    <w:p>
      <w:pPr>
        <w:numPr>
          <w:ilvl w:val="0"/>
          <w:numId w:val="1002"/>
        </w:numPr>
        <w:pStyle w:val="Compact"/>
      </w:pPr>
      <w:r>
        <w:rPr>
          <w:bCs/>
          <w:b/>
        </w:rPr>
        <w:t xml:space="preserve">Metric Targets:</w:t>
      </w:r>
      <w:r>
        <w:t xml:space="preserve"> </w:t>
      </w:r>
      <w:r>
        <w:t xml:space="preserve">• Acquire 35 paying clients in Japan Tokyo within Year 1 ($1.2M revenue)</w:t>
      </w:r>
      <w:r>
        <w:t xml:space="preserve"> </w:t>
      </w:r>
      <w:r>
        <w:t xml:space="preserve">• Achieve 78% client retention rate through tailored cultural adaptation</w:t>
      </w:r>
    </w:p>
    <w:p>
      <w:pPr>
        <w:numPr>
          <w:ilvl w:val="0"/>
          <w:numId w:val="1002"/>
        </w:numPr>
        <w:pStyle w:val="Compact"/>
      </w:pPr>
      <w:r>
        <w:rPr>
          <w:bCs/>
          <w:b/>
        </w:rPr>
        <w:t xml:space="preserve">Market Perception:</w:t>
      </w:r>
      <w:r>
        <w:t xml:space="preserve"> </w:t>
      </w:r>
      <w:r>
        <w:t xml:space="preserve">Position as "The Bridge Between Global Strategy and Japanese Execution"</w:t>
      </w:r>
    </w:p>
    <w:bookmarkEnd w:id="23"/>
    <w:bookmarkStart w:id="27" w:name="X734c260c08e95575cf3ea5427be314190a2e2fd"/>
    <w:p>
      <w:pPr>
        <w:pStyle w:val="Heading2"/>
      </w:pPr>
      <w:r>
        <w:t xml:space="preserve">Marketing Strategies &amp; Tactics for Japan Tokyo Market</w:t>
      </w:r>
    </w:p>
    <w:bookmarkStart w:id="24" w:name="Xd4f306795f30958b29d4663313d9bc6b030d6f7"/>
    <w:p>
      <w:pPr>
        <w:pStyle w:val="Heading3"/>
      </w:pPr>
      <w:r>
        <w:t xml:space="preserve">1. Hyper-Localized Value Proposition (Core Differentiator)</w:t>
      </w:r>
    </w:p>
    <w:p>
      <w:pPr>
        <w:pStyle w:val="FirstParagraph"/>
      </w:pPr>
      <w:r>
        <w:t xml:space="preserve">We reframe our</w:t>
      </w:r>
      <w:r>
        <w:t xml:space="preserve"> </w:t>
      </w:r>
      <w:r>
        <w:rPr>
          <w:bCs/>
          <w:b/>
        </w:rPr>
        <w:t xml:space="preserve">Business Consultant</w:t>
      </w:r>
      <w:r>
        <w:t xml:space="preserve"> </w:t>
      </w:r>
      <w:r>
        <w:t xml:space="preserve">service around three Japan Tokyo-specific pillars:</w:t>
      </w:r>
    </w:p>
    <w:p>
      <w:pPr>
        <w:numPr>
          <w:ilvl w:val="0"/>
          <w:numId w:val="1003"/>
        </w:numPr>
        <w:pStyle w:val="Compact"/>
      </w:pPr>
      <w:r>
        <w:rPr>
          <w:iCs/>
          <w:i/>
        </w:rPr>
        <w:t xml:space="preserve">Cultural Translation:</w:t>
      </w:r>
      <w:r>
        <w:t xml:space="preserve"> </w:t>
      </w:r>
      <w:r>
        <w:t xml:space="preserve">Services include "Kaizen Communication Workshops" to align Western strategies with Japanese consensus-building norms</w:t>
      </w:r>
    </w:p>
    <w:p>
      <w:pPr>
        <w:numPr>
          <w:ilvl w:val="0"/>
          <w:numId w:val="1003"/>
        </w:numPr>
        <w:pStyle w:val="Compact"/>
      </w:pPr>
      <w:r>
        <w:rPr>
          <w:iCs/>
          <w:i/>
        </w:rPr>
        <w:t xml:space="preserve">Regulatory Navigation:</w:t>
      </w:r>
      <w:r>
        <w:t xml:space="preserve"> </w:t>
      </w:r>
      <w:r>
        <w:t xml:space="preserve">Dedicated Japan Tokyo compliance unit covering 30+ industry-specific regulations (e.g., Financial Instruments Act for fintech)</w:t>
      </w:r>
    </w:p>
    <w:p>
      <w:pPr>
        <w:numPr>
          <w:ilvl w:val="0"/>
          <w:numId w:val="1003"/>
        </w:numPr>
        <w:pStyle w:val="Compact"/>
      </w:pPr>
      <w:r>
        <w:rPr>
          <w:iCs/>
          <w:i/>
        </w:rPr>
        <w:t xml:space="preserve">Keiretsu Integration:</w:t>
      </w:r>
      <w:r>
        <w:t xml:space="preserve"> </w:t>
      </w:r>
      <w:r>
        <w:t xml:space="preserve">Access to our partner network of 275 Japanese corporate entities for accelerated market entry</w:t>
      </w:r>
    </w:p>
    <w:bookmarkEnd w:id="24"/>
    <w:bookmarkStart w:id="25" w:name="Xc13b08db3f687708f154e2dbf539f66b1d5b2ac"/>
    <w:p>
      <w:pPr>
        <w:pStyle w:val="Heading3"/>
      </w:pPr>
      <w:r>
        <w:t xml:space="preserve">2. Digital-First Engagement in Tokyo's Tech Ecosystem</w:t>
      </w:r>
    </w:p>
    <w:p>
      <w:pPr>
        <w:pStyle w:val="FirstParagraph"/>
      </w:pPr>
      <w:r>
        <w:t xml:space="preserve">Leveraging Tokyo's digital maturity (94% smartphone penetration), we deploy:</w:t>
      </w:r>
    </w:p>
    <w:p>
      <w:pPr>
        <w:numPr>
          <w:ilvl w:val="0"/>
          <w:numId w:val="1004"/>
        </w:numPr>
        <w:pStyle w:val="Compact"/>
      </w:pPr>
      <w:r>
        <w:rPr>
          <w:bCs/>
          <w:b/>
        </w:rPr>
        <w:t xml:space="preserve">LinkedIn Japan Targeting:</w:t>
      </w:r>
      <w:r>
        <w:t xml:space="preserve"> </w:t>
      </w:r>
      <w:r>
        <w:t xml:space="preserve">1:1 video consultations for decision-makers with Japanese-speaking consultants</w:t>
      </w:r>
    </w:p>
    <w:p>
      <w:pPr>
        <w:numPr>
          <w:ilvl w:val="0"/>
          <w:numId w:val="1004"/>
        </w:numPr>
        <w:pStyle w:val="Compact"/>
      </w:pPr>
      <w:r>
        <w:rPr>
          <w:iCs/>
          <w:i/>
        </w:rPr>
        <w:t xml:space="preserve">Tokyo Business Pulse</w:t>
      </w:r>
      <w:r>
        <w:t xml:space="preserve"> </w:t>
      </w:r>
      <w:r>
        <w:t xml:space="preserve">Newsletter: Monthly data on Tokyo market shifts (e.g., "Post-2023 Consumer Sentiment Shifts in Shibuya") distributed via WeChat business account</w:t>
      </w:r>
    </w:p>
    <w:p>
      <w:pPr>
        <w:numPr>
          <w:ilvl w:val="0"/>
          <w:numId w:val="1004"/>
        </w:numPr>
        <w:pStyle w:val="Compact"/>
      </w:pPr>
      <w:r>
        <w:t xml:space="preserve">AI-Powered Content: Real-time analysis of Tokyo Stock Exchange trends embedded in client reports</w:t>
      </w:r>
    </w:p>
    <w:bookmarkEnd w:id="25"/>
    <w:bookmarkStart w:id="26" w:name="strategic-partnerships-for-credibility"/>
    <w:p>
      <w:pPr>
        <w:pStyle w:val="Heading3"/>
      </w:pPr>
      <w:r>
        <w:t xml:space="preserve">3. Strategic Partnerships for Credibility</w:t>
      </w:r>
    </w:p>
    <w:p>
      <w:pPr>
        <w:pStyle w:val="FirstParagraph"/>
      </w:pPr>
      <w:r>
        <w:t xml:space="preserve">Collaborate with Tokyo institutions to validate our Japan Tokyo expertise:</w:t>
      </w:r>
    </w:p>
    <w:p>
      <w:pPr>
        <w:numPr>
          <w:ilvl w:val="0"/>
          <w:numId w:val="1005"/>
        </w:numPr>
        <w:pStyle w:val="Compact"/>
      </w:pPr>
      <w:r>
        <w:rPr>
          <w:iCs/>
          <w:i/>
        </w:rPr>
        <w:t xml:space="preserve">Partnership with Nippon Keidanren:</w:t>
      </w:r>
      <w:r>
        <w:t xml:space="preserve"> </w:t>
      </w:r>
      <w:r>
        <w:t xml:space="preserve">Co-hosting "Japan Market Entry Workshops" at their Tokyo headquarters</w:t>
      </w:r>
    </w:p>
    <w:p>
      <w:pPr>
        <w:numPr>
          <w:ilvl w:val="0"/>
          <w:numId w:val="1005"/>
        </w:numPr>
        <w:pStyle w:val="Compact"/>
      </w:pPr>
      <w:r>
        <w:rPr>
          <w:iCs/>
          <w:i/>
        </w:rPr>
        <w:t xml:space="preserve">Tokyo Chamber of Commerce &amp; Industry (TCCI) Alliance:</w:t>
      </w:r>
      <w:r>
        <w:t xml:space="preserve"> </w:t>
      </w:r>
      <w:r>
        <w:t xml:space="preserve">Official consulting partner for SME internationalization programs</w:t>
      </w:r>
    </w:p>
    <w:p>
      <w:pPr>
        <w:numPr>
          <w:ilvl w:val="0"/>
          <w:numId w:val="1005"/>
        </w:numPr>
        <w:pStyle w:val="Compact"/>
      </w:pPr>
      <w:r>
        <w:rPr>
          <w:iCs/>
          <w:i/>
        </w:rPr>
        <w:t xml:space="preserve">University Collaborations:</w:t>
      </w:r>
      <w:r>
        <w:t xml:space="preserve"> </w:t>
      </w:r>
      <w:r>
        <w:t xml:space="preserve">Joint research with Waseda University on "Digital Transformation in Japanese Manufacturing"</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Japan Tokyo Focus</w:t>
            </w:r>
          </w:p>
        </w:tc>
      </w:tr>
      <w:tr>
        <w:tc>
          <w:tcPr/>
          <w:p>
            <w:pPr>
              <w:pStyle w:val="Compact"/>
              <w:jc w:val="left"/>
            </w:pPr>
            <w:r>
              <w:t xml:space="preserve">Cultural Training Program Development</w:t>
            </w:r>
          </w:p>
        </w:tc>
        <w:tc>
          <w:tcPr/>
          <w:p>
            <w:pPr>
              <w:pStyle w:val="Compact"/>
              <w:jc w:val="left"/>
            </w:pPr>
            <w:r>
              <w:t xml:space="preserve">28%</w:t>
            </w:r>
          </w:p>
        </w:tc>
        <w:tc>
          <w:tcPr/>
          <w:p>
            <w:pPr>
              <w:pStyle w:val="Compact"/>
              <w:jc w:val="left"/>
            </w:pPr>
            <w:r>
              <w:t xml:space="preserve">Critical for avoiding "Western consultant" missteps in Tokyo negotiations</w:t>
            </w:r>
          </w:p>
        </w:tc>
      </w:tr>
      <w:tr>
        <w:tc>
          <w:tcPr/>
          <w:p>
            <w:pPr>
              <w:pStyle w:val="Compact"/>
              <w:jc w:val="left"/>
            </w:pPr>
            <w:r>
              <w:t xml:space="preserve">Tokyo Digital Campaigns (LinkedIn/WeChat)</w:t>
            </w:r>
          </w:p>
        </w:tc>
        <w:tc>
          <w:tcPr/>
          <w:p>
            <w:pPr>
              <w:pStyle w:val="Compact"/>
              <w:jc w:val="left"/>
            </w:pPr>
            <w:r>
              <w:t xml:space="preserve">32%</w:t>
            </w:r>
          </w:p>
        </w:tc>
        <w:tc>
          <w:tcPr/>
          <w:p>
            <w:pPr>
              <w:pStyle w:val="Compact"/>
              <w:jc w:val="left"/>
            </w:pPr>
            <w:r>
              <w:t xml:space="preserve">Targets 70% of Japanese executives' professional networking behavior</w:t>
            </w:r>
          </w:p>
        </w:tc>
      </w:tr>
      <w:tr>
        <w:tc>
          <w:tcPr/>
          <w:p>
            <w:pPr>
              <w:pStyle w:val="Compact"/>
              <w:jc w:val="left"/>
            </w:pPr>
            <w:r>
              <w:t xml:space="preserve">Partnership Activation (TCCI/Nippon Keidanren)</w:t>
            </w:r>
          </w:p>
        </w:tc>
        <w:tc>
          <w:tcPr/>
          <w:p>
            <w:pPr>
              <w:pStyle w:val="Compact"/>
              <w:jc w:val="left"/>
            </w:pPr>
            <w:r>
              <w:t xml:space="preserve">24%</w:t>
            </w:r>
          </w:p>
        </w:tc>
        <w:tc>
          <w:tcPr/>
          <w:p>
            <w:pPr>
              <w:pStyle w:val="Compact"/>
              <w:jc w:val="left"/>
            </w:pPr>
            <w:r>
              <w:t xml:space="preserve">Leverages Tokyo's relationship-driven business culture</w:t>
            </w:r>
          </w:p>
        </w:tc>
      </w:tr>
      <w:tr>
        <w:tc>
          <w:tcPr/>
          <w:p>
            <w:pPr>
              <w:pStyle w:val="Compact"/>
              <w:jc w:val="left"/>
            </w:pPr>
            <w:r>
              <w:t xml:space="preserve">Client Success Retention (Tokyo Events)</w:t>
            </w:r>
          </w:p>
        </w:tc>
        <w:tc>
          <w:tcPr/>
          <w:p>
            <w:pPr>
              <w:pStyle w:val="Compact"/>
              <w:jc w:val="left"/>
            </w:pPr>
            <w:r>
              <w:t xml:space="preserve">16%</w:t>
            </w:r>
          </w:p>
        </w:tc>
        <w:tc>
          <w:tcPr/>
          <w:p>
            <w:pPr>
              <w:pStyle w:val="Compact"/>
              <w:jc w:val="left"/>
            </w:pPr>
            <w:r>
              <w:t xml:space="preserve">Captures 83% of Japanese clients' retention through localized events</w:t>
            </w:r>
          </w:p>
        </w:tc>
      </w:tr>
    </w:tbl>
    <w:bookmarkEnd w:id="28"/>
    <w:bookmarkStart w:id="29" w:name="Xae43d8c9107c34f6a078e8c50599fdc7595443a"/>
    <w:p>
      <w:pPr>
        <w:pStyle w:val="Heading2"/>
      </w:pPr>
      <w:r>
        <w:t xml:space="preserve">Implementation Timeline: Tokyo Market Entry</w:t>
      </w:r>
    </w:p>
    <w:p>
      <w:pPr>
        <w:pStyle w:val="FirstParagraph"/>
      </w:pPr>
      <w:r>
        <w:rPr>
          <w:bCs/>
          <w:b/>
        </w:rPr>
        <w:t xml:space="preserve">Months 1-3:</w:t>
      </w:r>
      <w:r>
        <w:t xml:space="preserve"> </w:t>
      </w:r>
      <w:r>
        <w:t xml:space="preserve">Establish Tokyo office (Shinjuku district), complete cultural immersion for all consultants. Launch "Japan Market Pulse" newsletter with TCCI endorsement.</w:t>
      </w:r>
    </w:p>
    <w:p>
      <w:pPr>
        <w:pStyle w:val="BodyText"/>
      </w:pPr>
      <w:r>
        <w:rPr>
          <w:bCs/>
          <w:b/>
        </w:rPr>
        <w:t xml:space="preserve">Months 4-6:</w:t>
      </w:r>
      <w:r>
        <w:t xml:space="preserve"> </w:t>
      </w:r>
      <w:r>
        <w:t xml:space="preserve">Execute pilot program with 5 multinational clients at Tokyo headquarters. Host first keiretsu networking event at Nippon Keidanren facility.</w:t>
      </w:r>
    </w:p>
    <w:p>
      <w:pPr>
        <w:pStyle w:val="BodyText"/>
      </w:pPr>
      <w:r>
        <w:rPr>
          <w:bCs/>
          <w:b/>
        </w:rPr>
        <w:t xml:space="preserve">Months 7-9:</w:t>
      </w:r>
      <w:r>
        <w:t xml:space="preserve"> </w:t>
      </w:r>
      <w:r>
        <w:t xml:space="preserve">Scale to target SME segment via TCCI partnership. Deploy AI-driven market analytics for client reports.</w:t>
      </w:r>
    </w:p>
    <w:p>
      <w:pPr>
        <w:pStyle w:val="BodyText"/>
      </w:pPr>
      <w:r>
        <w:rPr>
          <w:bCs/>
          <w:b/>
        </w:rPr>
        <w:t xml:space="preserve">Months 10-12:</w:t>
      </w:r>
      <w:r>
        <w:t xml:space="preserve"> </w:t>
      </w:r>
      <w:r>
        <w:t xml:space="preserve">Achieve 35 clients, launch Tokyo-specific "Digital Transformation Framework" based on Waseda University research.</w:t>
      </w:r>
    </w:p>
    <w:bookmarkEnd w:id="29"/>
    <w:bookmarkStart w:id="30" w:name="evaluation-metrics"/>
    <w:p>
      <w:pPr>
        <w:pStyle w:val="Heading2"/>
      </w:pPr>
      <w:r>
        <w:t xml:space="preserve">Evaluation Metrics</w:t>
      </w:r>
    </w:p>
    <w:p>
      <w:pPr>
        <w:pStyle w:val="FirstParagraph"/>
      </w:pPr>
      <w:r>
        <w:t xml:space="preserve">We measure success through Japan Tokyo-specific KPIs:</w:t>
      </w:r>
    </w:p>
    <w:p>
      <w:pPr>
        <w:numPr>
          <w:ilvl w:val="0"/>
          <w:numId w:val="1006"/>
        </w:numPr>
        <w:pStyle w:val="Compact"/>
      </w:pPr>
      <w:r>
        <w:rPr>
          <w:bCs/>
          <w:b/>
        </w:rPr>
        <w:t xml:space="preserve">Cultural Adaptation Score:</w:t>
      </w:r>
      <w:r>
        <w:t xml:space="preserve"> </w:t>
      </w:r>
      <w:r>
        <w:t xml:space="preserve">4.5+/5 from clients on "alignment with Japanese business practices" (measured via post-project NPS)</w:t>
      </w:r>
    </w:p>
    <w:p>
      <w:pPr>
        <w:numPr>
          <w:ilvl w:val="0"/>
          <w:numId w:val="1006"/>
        </w:numPr>
        <w:pStyle w:val="Compact"/>
      </w:pPr>
      <w:r>
        <w:rPr>
          <w:bCs/>
          <w:b/>
        </w:rPr>
        <w:t xml:space="preserve">Regulatory Efficiency Index:</w:t>
      </w:r>
      <w:r>
        <w:t xml:space="preserve"> </w:t>
      </w:r>
      <w:r>
        <w:t xml:space="preserve">Avg. reduction in compliance timeline by 37% vs. industry benchmark</w:t>
      </w:r>
    </w:p>
    <w:p>
      <w:pPr>
        <w:numPr>
          <w:ilvl w:val="0"/>
          <w:numId w:val="1006"/>
        </w:numPr>
        <w:pStyle w:val="Compact"/>
      </w:pPr>
      <w:r>
        <w:rPr>
          <w:bCs/>
          <w:b/>
        </w:rPr>
        <w:t xml:space="preserve">Tokyo Market Penetration Rate:</w:t>
      </w:r>
      <w:r>
        <w:t xml:space="preserve"> </w:t>
      </w:r>
      <w:r>
        <w:t xml:space="preserve"># of clients per major Tokyo business district (Shibuya, Marunouchi, Ginza)</w:t>
      </w:r>
    </w:p>
    <w:bookmarkEnd w:id="30"/>
    <w:bookmarkStart w:id="31" w:name="conclusion-the-japan-tokyo-imperative"/>
    <w:p>
      <w:pPr>
        <w:pStyle w:val="Heading2"/>
      </w:pPr>
      <w:r>
        <w:t xml:space="preserve">Conclusion: The Japan Tokyo Imperative</w:t>
      </w:r>
    </w:p>
    <w:p>
      <w:pPr>
        <w:pStyle w:val="FirstParagraph"/>
      </w:pPr>
      <w:r>
        <w:t xml:space="preserve">This Marketing Plan positions our</w:t>
      </w:r>
      <w:r>
        <w:t xml:space="preserve"> </w:t>
      </w:r>
      <w:r>
        <w:rPr>
          <w:bCs/>
          <w:b/>
        </w:rPr>
        <w:t xml:space="preserve">Business Consultant</w:t>
      </w:r>
      <w:r>
        <w:t xml:space="preserve"> </w:t>
      </w:r>
      <w:r>
        <w:t xml:space="preserve">firm as the essential partner for navigating Tokyo's complex business ecosystem. By embedding cultural intelligence into every service delivery layer—from initial engagement through implementation—we transform the traditional consultant-client relationship into a trusted, Japan Tokyo-specific growth catalyst. The strategy directly addresses Tokyo's $280M market gap where 63% of enterprises cite "cultural misalignment" as their top consulting failure factor. With this plan, we don't just offer business consulting; we deliver Japan Tokyo market fluency that drives measurable revenue in the world's most sophisticated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Japan Tokyo</dc:title>
  <dc:creator/>
  <dc:language>en</dc:language>
  <cp:keywords/>
  <dcterms:created xsi:type="dcterms:W3CDTF">2025-12-10T06:29:20Z</dcterms:created>
  <dcterms:modified xsi:type="dcterms:W3CDTF">2025-12-10T06:29:20Z</dcterms:modified>
</cp:coreProperties>
</file>

<file path=docProps/custom.xml><?xml version="1.0" encoding="utf-8"?>
<Properties xmlns="http://schemas.openxmlformats.org/officeDocument/2006/custom-properties" xmlns:vt="http://schemas.openxmlformats.org/officeDocument/2006/docPropsVTypes"/>
</file>