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2" w:name="X87ae78491c419453fff736e11519efab08a7368"/>
    <w:p>
      <w:pPr>
        <w:pStyle w:val="Heading1"/>
      </w:pPr>
      <w:r>
        <w:t xml:space="preserve">Comprehensive Marketing Plan for Business Consultant Services in Kazakhstan Almaty</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Business Consultant firm within Kazakhstan's economic hub, Almaty. Capitalizing on Almaty's dynamic business environment—home to 40% of Kazakhstan's GDP, over 5,000 SMEs, and thriving sectors including finance, logistics, and digital transformation—the plan positions our firm as the go-to Business Consultant for local enterprises navigating post-pandemic recovery and regulatory evolution. By integrating deep market insights with culturally attuned consulting methodologies, this Marketing Plan ensures sustainable growth in the Almaty market while addressing unmet needs of Kazakhstan's business community.</w:t>
      </w:r>
    </w:p>
    <w:bookmarkEnd w:id="20"/>
    <w:bookmarkStart w:id="21" w:name="X7d84432dc90c392650ca5c1702dcbcef4df57c6"/>
    <w:p>
      <w:pPr>
        <w:pStyle w:val="Heading2"/>
      </w:pPr>
      <w:r>
        <w:t xml:space="preserve">Market Situation Analysis: Kazakhstan Almaty Context</w:t>
      </w:r>
    </w:p>
    <w:p>
      <w:pPr>
        <w:pStyle w:val="FirstParagraph"/>
      </w:pPr>
      <w:r>
        <w:t xml:space="preserve">Almaty’s economy is undergoing significant transformation. As Kazakhstan’s financial capital and largest city, it hosts 73% of the nation’s corporate headquarters and benefits from initiatives like "Digital Kazakhstan" (2019–2025) and the new Industrial Development Law. However, challenges persist: 68% of Almaty-based SMEs report inadequate strategic planning capabilities (State Statistics Bureau, 2023), while foreign investors cite regulatory complexity as a top barrier. Crucially, local businesses often seek external expertise but lack access to consultants fluent in Kazakh business culture and the nuances of Kazakhstan’s evolving legal landscape. This gap positions our Business Consultant service as essential for operational efficiency, market expansion, and compliance—particularly for firms targeting exports or attracting foreign capital.</w:t>
      </w:r>
    </w:p>
    <w:bookmarkEnd w:id="21"/>
    <w:bookmarkStart w:id="22" w:name="target-audience-segmentation"/>
    <w:p>
      <w:pPr>
        <w:pStyle w:val="Heading2"/>
      </w:pPr>
      <w:r>
        <w:t xml:space="preserve">Target Audience Segmentation</w:t>
      </w:r>
    </w:p>
    <w:p>
      <w:pPr>
        <w:pStyle w:val="FirstParagraph"/>
      </w:pPr>
      <w:r>
        <w:t xml:space="preserve">This Marketing Plan identifies three primary segments in Almaty:</w:t>
      </w:r>
    </w:p>
    <w:p>
      <w:pPr>
        <w:numPr>
          <w:ilvl w:val="0"/>
          <w:numId w:val="1001"/>
        </w:numPr>
        <w:pStyle w:val="Compact"/>
      </w:pPr>
      <w:r>
        <w:rPr>
          <w:bCs/>
          <w:b/>
        </w:rPr>
        <w:t xml:space="preserve">SMEs (60% of focus):</w:t>
      </w:r>
      <w:r>
        <w:t xml:space="preserve"> </w:t>
      </w:r>
      <w:r>
        <w:t xml:space="preserve">Retail, hospitality, and agro-processing firms needing cost-effective operational optimization. Example: A restaurant chain seeking menu engineering to boost margins amid rising ingredient costs.</w:t>
      </w:r>
    </w:p>
    <w:p>
      <w:pPr>
        <w:numPr>
          <w:ilvl w:val="0"/>
          <w:numId w:val="1001"/>
        </w:numPr>
        <w:pStyle w:val="Compact"/>
      </w:pPr>
      <w:r>
        <w:rPr>
          <w:bCs/>
          <w:b/>
        </w:rPr>
        <w:t xml:space="preserve">State-Owned Enterprises (25%):</w:t>
      </w:r>
      <w:r>
        <w:t xml:space="preserve"> </w:t>
      </w:r>
      <w:r>
        <w:t xml:space="preserve">Energy and transport entities requiring restructuring under Kazakhstan’s "Strategy 2050" mandates. Example: A state-owned logistics firm modernizing supply chains for Eurasian Economic Union (EAEU) compliance.</w:t>
      </w:r>
    </w:p>
    <w:p>
      <w:pPr>
        <w:numPr>
          <w:ilvl w:val="0"/>
          <w:numId w:val="1001"/>
        </w:numPr>
        <w:pStyle w:val="Compact"/>
      </w:pPr>
      <w:r>
        <w:rPr>
          <w:bCs/>
          <w:b/>
        </w:rPr>
        <w:t xml:space="preserve">Foreign Investors (15%):</w:t>
      </w:r>
      <w:r>
        <w:t xml:space="preserve"> </w:t>
      </w:r>
      <w:r>
        <w:t xml:space="preserve">International firms entering the Kazakh market needing local partnership strategies and risk mitigation. Example: A German tech startup adapting to Kazakhstan’s data localization laws.</w:t>
      </w:r>
    </w:p>
    <w:bookmarkEnd w:id="22"/>
    <w:bookmarkStart w:id="23" w:name="unique-value-proposition-uvp"/>
    <w:p>
      <w:pPr>
        <w:pStyle w:val="Heading2"/>
      </w:pPr>
      <w:r>
        <w:t xml:space="preserve">Unique Value Proposition (UVP)</w:t>
      </w:r>
    </w:p>
    <w:p>
      <w:pPr>
        <w:pStyle w:val="FirstParagraph"/>
      </w:pPr>
      <w:r>
        <w:t xml:space="preserve">Our Business Consultant service delivers a localized edge through:</w:t>
      </w:r>
    </w:p>
    <w:p>
      <w:pPr>
        <w:numPr>
          <w:ilvl w:val="0"/>
          <w:numId w:val="1002"/>
        </w:numPr>
        <w:pStyle w:val="Compact"/>
      </w:pPr>
      <w:r>
        <w:rPr>
          <w:bCs/>
          <w:b/>
        </w:rPr>
        <w:t xml:space="preserve">Cultural Fluency:</w:t>
      </w:r>
      <w:r>
        <w:t xml:space="preserve"> </w:t>
      </w:r>
      <w:r>
        <w:t xml:space="preserve">Consultants fluent in Kazakh and Russian, understanding hierarchical decision-making and relationship-based business etiquette.</w:t>
      </w:r>
    </w:p>
    <w:p>
      <w:pPr>
        <w:numPr>
          <w:ilvl w:val="0"/>
          <w:numId w:val="1002"/>
        </w:numPr>
        <w:pStyle w:val="Compact"/>
      </w:pPr>
      <w:r>
        <w:rPr>
          <w:bCs/>
          <w:b/>
        </w:rPr>
        <w:t xml:space="preserve">Regulatory Mastery:</w:t>
      </w:r>
      <w:r>
        <w:t xml:space="preserve"> </w:t>
      </w:r>
      <w:r>
        <w:t xml:space="preserve">Real-time insights into Kazakhstan’s new tax codes (e.g., 129-FZ), customs procedures, and "Digital Kazakhstan" incentives.</w:t>
      </w:r>
    </w:p>
    <w:p>
      <w:pPr>
        <w:numPr>
          <w:ilvl w:val="0"/>
          <w:numId w:val="1002"/>
        </w:numPr>
        <w:pStyle w:val="Compact"/>
      </w:pPr>
      <w:r>
        <w:rPr>
          <w:bCs/>
          <w:b/>
        </w:rPr>
        <w:t xml:space="preserve">Almaty-Specific Solutions:</w:t>
      </w:r>
      <w:r>
        <w:t xml:space="preserve"> </w:t>
      </w:r>
      <w:r>
        <w:t xml:space="preserve">Case studies from Almaty-based clients (e.g., optimizing retail footprints in Central Almaty vs. satellite cities like Taldykorgan).</w:t>
      </w:r>
    </w:p>
    <w:bookmarkEnd w:id="23"/>
    <w:bookmarkStart w:id="28" w:name="marketing-strategies-tactics"/>
    <w:p>
      <w:pPr>
        <w:pStyle w:val="Heading2"/>
      </w:pPr>
      <w:r>
        <w:t xml:space="preserve">Marketing Strategies &amp; Tactics</w:t>
      </w:r>
    </w:p>
    <w:p>
      <w:pPr>
        <w:pStyle w:val="FirstParagraph"/>
      </w:pPr>
      <w:r>
        <w:t xml:space="preserve">This Marketing Plan prioritizes high-impact, low-cost tactics tailored to Kazakhstan’s digital and social landscape:</w:t>
      </w:r>
    </w:p>
    <w:bookmarkStart w:id="24" w:name="digital-presence-content-marketing"/>
    <w:p>
      <w:pPr>
        <w:pStyle w:val="Heading3"/>
      </w:pPr>
      <w:r>
        <w:t xml:space="preserve">1. Digital Presence &amp; Content Marketing</w:t>
      </w:r>
    </w:p>
    <w:p>
      <w:pPr>
        <w:pStyle w:val="FirstParagraph"/>
      </w:pPr>
      <w:r>
        <w:t xml:space="preserve">Develop a Kazakh/Russian/English bilingual website highlighting Almaty success stories (e.g., "How We Increased a Local Dairy Producer’s Export Revenue by 40% in 18 Months"). Partner with Almaty-based platforms like</w:t>
      </w:r>
      <w:r>
        <w:t xml:space="preserve"> </w:t>
      </w:r>
      <w:r>
        <w:rPr>
          <w:iCs/>
          <w:i/>
        </w:rPr>
        <w:t xml:space="preserve">Kazinform</w:t>
      </w:r>
      <w:r>
        <w:t xml:space="preserve"> </w:t>
      </w:r>
      <w:r>
        <w:t xml:space="preserve">and</w:t>
      </w:r>
      <w:r>
        <w:t xml:space="preserve"> </w:t>
      </w:r>
      <w:r>
        <w:rPr>
          <w:iCs/>
          <w:i/>
        </w:rPr>
        <w:t xml:space="preserve">Alma-Ata TV</w:t>
      </w:r>
      <w:r>
        <w:t xml:space="preserve"> </w:t>
      </w:r>
      <w:r>
        <w:t xml:space="preserve">for webinars on trending topics like "Navigating Kazakhstan’s EAEU Compliance Shifts." Leverage LinkedIn—where 72% of Almaty professionals are active—to publish data-driven insights on market trends.</w:t>
      </w:r>
    </w:p>
    <w:bookmarkEnd w:id="24"/>
    <w:bookmarkStart w:id="25" w:name="X0a19a67e3e8713f2ee3f13e451c7e5f2aec5498"/>
    <w:p>
      <w:pPr>
        <w:pStyle w:val="Heading3"/>
      </w:pPr>
      <w:r>
        <w:t xml:space="preserve">2. Community Engagement in Kazakhstan Almaty</w:t>
      </w:r>
    </w:p>
    <w:p>
      <w:pPr>
        <w:pStyle w:val="FirstParagraph"/>
      </w:pPr>
      <w:r>
        <w:t xml:space="preserve">Host quarterly "Business Strategy Circles" at co-working spaces like</w:t>
      </w:r>
      <w:r>
        <w:t xml:space="preserve"> </w:t>
      </w:r>
      <w:r>
        <w:rPr>
          <w:iCs/>
          <w:i/>
        </w:rPr>
        <w:t xml:space="preserve">The Hive</w:t>
      </w:r>
      <w:r>
        <w:t xml:space="preserve"> </w:t>
      </w:r>
      <w:r>
        <w:t xml:space="preserve">or</w:t>
      </w:r>
      <w:r>
        <w:t xml:space="preserve"> </w:t>
      </w:r>
      <w:r>
        <w:rPr>
          <w:iCs/>
          <w:i/>
        </w:rPr>
        <w:t xml:space="preserve">Cube Labs</w:t>
      </w:r>
      <w:r>
        <w:t xml:space="preserve"> </w:t>
      </w:r>
      <w:r>
        <w:t xml:space="preserve">in Almaty’s Central district. Topics include: "Digital Transformation for Kazakh SMEs" and "Investing in Kazakhstan’s Green Economy." Partner with the Almaty Chamber of Commerce to co-host events, enhancing credibility and access to their 2,500+ member network.</w:t>
      </w:r>
    </w:p>
    <w:bookmarkEnd w:id="25"/>
    <w:bookmarkStart w:id="26" w:name="strategic-alliances"/>
    <w:p>
      <w:pPr>
        <w:pStyle w:val="Heading3"/>
      </w:pPr>
      <w:r>
        <w:t xml:space="preserve">3. Strategic Alliances</w:t>
      </w:r>
    </w:p>
    <w:p>
      <w:pPr>
        <w:pStyle w:val="FirstParagraph"/>
      </w:pPr>
      <w:r>
        <w:t xml:space="preserve">Cultivate partnerships with key Almaty institutions:</w:t>
      </w:r>
    </w:p>
    <w:p>
      <w:pPr>
        <w:numPr>
          <w:ilvl w:val="0"/>
          <w:numId w:val="1003"/>
        </w:numPr>
        <w:pStyle w:val="Compact"/>
      </w:pPr>
      <w:r>
        <w:rPr>
          <w:iCs/>
          <w:i/>
        </w:rPr>
        <w:t xml:space="preserve">Kazakh National Bank:</w:t>
      </w:r>
      <w:r>
        <w:t xml:space="preserve"> </w:t>
      </w:r>
      <w:r>
        <w:t xml:space="preserve">Co-develop training for SMEs on financial strategy (leveraging their 2024 "SME Growth Initiative").</w:t>
      </w:r>
    </w:p>
    <w:p>
      <w:pPr>
        <w:numPr>
          <w:ilvl w:val="0"/>
          <w:numId w:val="1003"/>
        </w:numPr>
        <w:pStyle w:val="Compact"/>
      </w:pPr>
      <w:r>
        <w:rPr>
          <w:iCs/>
          <w:i/>
        </w:rPr>
        <w:t xml:space="preserve">Almaty International Airport Logistics Hub:</w:t>
      </w:r>
      <w:r>
        <w:t xml:space="preserve"> </w:t>
      </w:r>
      <w:r>
        <w:t xml:space="preserve">Offer supply chain optimization consulting to tenants.</w:t>
      </w:r>
    </w:p>
    <w:p>
      <w:pPr>
        <w:numPr>
          <w:ilvl w:val="0"/>
          <w:numId w:val="1003"/>
        </w:numPr>
        <w:pStyle w:val="Compact"/>
      </w:pPr>
      <w:r>
        <w:rPr>
          <w:iCs/>
          <w:i/>
        </w:rPr>
        <w:t xml:space="preserve">School of Business at Al-Farabi KazNU:</w:t>
      </w:r>
      <w:r>
        <w:t xml:space="preserve"> </w:t>
      </w:r>
      <w:r>
        <w:t xml:space="preserve">Sponsor case competitions for students, creating talent pipelines and brand visibility.</w:t>
      </w:r>
    </w:p>
    <w:bookmarkEnd w:id="26"/>
    <w:bookmarkStart w:id="27" w:name="localized-pricing-delivery"/>
    <w:p>
      <w:pPr>
        <w:pStyle w:val="Heading3"/>
      </w:pPr>
      <w:r>
        <w:t xml:space="preserve">4. Localized Pricing &amp; Delivery</w:t>
      </w:r>
    </w:p>
    <w:p>
      <w:pPr>
        <w:pStyle w:val="FirstParagraph"/>
      </w:pPr>
      <w:r>
        <w:t xml:space="preserve">Avoid generic global pricing models. Introduce tiered packages in KZT (e.g., "Almaty Starter" at 500,000 KZT for digital audits) with flexible payment terms accommodating Kazakh business cycles (e.g., post-harvest season for agribusiness). All consultations conducted via Zoom or in-person at Almaty offices to build trust.</w:t>
      </w:r>
    </w:p>
    <w:bookmarkEnd w:id="27"/>
    <w:bookmarkEnd w:id="28"/>
    <w:bookmarkStart w:id="29" w:name="measurement-kpis"/>
    <w:p>
      <w:pPr>
        <w:pStyle w:val="Heading2"/>
      </w:pPr>
      <w:r>
        <w:t xml:space="preserve">Measurement &amp; KPIs</w:t>
      </w:r>
    </w:p>
    <w:p>
      <w:pPr>
        <w:pStyle w:val="FirstParagraph"/>
      </w:pPr>
      <w:r>
        <w:t xml:space="preserve">This Marketing Plan tracks success through Almaty-specific metrics:</w:t>
      </w:r>
    </w:p>
    <w:p>
      <w:pPr>
        <w:numPr>
          <w:ilvl w:val="0"/>
          <w:numId w:val="1004"/>
        </w:numPr>
        <w:pStyle w:val="Compact"/>
      </w:pPr>
      <w:r>
        <w:rPr>
          <w:bCs/>
          <w:b/>
        </w:rPr>
        <w:t xml:space="preserve">Client Acquisition Cost (CAC):</w:t>
      </w:r>
      <w:r>
        <w:t xml:space="preserve"> </w:t>
      </w:r>
      <w:r>
        <w:t xml:space="preserve">Target: ≤ 150,000 KZT per SME client (below industry avg. of 225,000 KZT).</w:t>
      </w:r>
    </w:p>
    <w:p>
      <w:pPr>
        <w:numPr>
          <w:ilvl w:val="0"/>
          <w:numId w:val="1004"/>
        </w:numPr>
        <w:pStyle w:val="Compact"/>
      </w:pPr>
      <w:r>
        <w:rPr>
          <w:bCs/>
          <w:b/>
        </w:rPr>
        <w:t xml:space="preserve">Almaty Market Share:</w:t>
      </w:r>
      <w:r>
        <w:t xml:space="preserve"> </w:t>
      </w:r>
      <w:r>
        <w:t xml:space="preserve">Achieve 8% penetration among target SMEs within Year 1.</w:t>
      </w:r>
    </w:p>
    <w:p>
      <w:pPr>
        <w:numPr>
          <w:ilvl w:val="0"/>
          <w:numId w:val="1004"/>
        </w:numPr>
        <w:pStyle w:val="Compact"/>
      </w:pPr>
      <w:r>
        <w:rPr>
          <w:bCs/>
          <w:b/>
        </w:rPr>
        <w:t xml:space="preserve">Client Retention Rate:</w:t>
      </w:r>
      <w:r>
        <w:t xml:space="preserve"> </w:t>
      </w:r>
      <w:r>
        <w:t xml:space="preserve">Target: ≥75% (measured via annual renewal surveys in Almaty).</w:t>
      </w:r>
    </w:p>
    <w:p>
      <w:pPr>
        <w:numPr>
          <w:ilvl w:val="0"/>
          <w:numId w:val="1004"/>
        </w:numPr>
        <w:pStyle w:val="Compact"/>
      </w:pPr>
      <w:r>
        <w:rPr>
          <w:bCs/>
          <w:b/>
        </w:rPr>
        <w:t xml:space="preserve">Cultural Alignment Score:</w:t>
      </w:r>
      <w:r>
        <w:t xml:space="preserve"> </w:t>
      </w:r>
      <w:r>
        <w:t xml:space="preserve">Post-consultation survey metric (target: ≥4.2/5 on "understanding of Kazakh business context").</w:t>
      </w:r>
    </w:p>
    <w:bookmarkEnd w:id="29"/>
    <w:bookmarkStart w:id="30" w:name="budget-allocation-year-1"/>
    <w:p>
      <w:pPr>
        <w:pStyle w:val="Heading2"/>
      </w:pPr>
      <w:r>
        <w:t xml:space="preserve">Budget Allocation (Year 1)</w:t>
      </w:r>
    </w:p>
    <w:p>
      <w:pPr>
        <w:pStyle w:val="FirstParagraph"/>
      </w:pPr>
      <w:r>
        <w:t xml:space="preserve">Allocating 65% to digital and event marketing (Almaty-focused content, webinars, partnerships), 20% to sales team development (training on Kazakh market dynamics), and 15% for community initiatives. Total investment: $78,000 USD—optimized for Almaty’s cost structure where $1 = 465 KZT.</w:t>
      </w:r>
    </w:p>
    <w:bookmarkEnd w:id="30"/>
    <w:bookmarkStart w:id="31" w:name="conclusion"/>
    <w:p>
      <w:pPr>
        <w:pStyle w:val="Heading2"/>
      </w:pPr>
      <w:r>
        <w:t xml:space="preserve">Conclusion</w:t>
      </w:r>
    </w:p>
    <w:p>
      <w:pPr>
        <w:pStyle w:val="FirstParagraph"/>
      </w:pPr>
      <w:r>
        <w:t xml:space="preserve">This Marketing Plan establishes a clear path for our Business Consultant services to dominate the Almaty market by solving real pain points through culturally embedded expertise. By centering every tactic on Kazakhstan Almaty’s unique ecosystem—its regulatory shifts, SME challenges, and digital ambitions—we position our firm not as another consultant but as an indispensable local partner. As Almaty accelerates toward becoming a Central Asian innovation hub, this Marketing Plan ensures we capture first-mover advantage in the critical Business Consultant space. The plan’s success hinges on relentless adaptation to Kazakhstan’s evolving business landscape, making every strategy and metric inherently Almaty-driven.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Kazakhstan Almaty</dc:title>
  <dc:creator/>
  <dc:language>en</dc:language>
  <cp:keywords/>
  <dcterms:created xsi:type="dcterms:W3CDTF">2026-07-24T04:56:05Z</dcterms:created>
  <dcterms:modified xsi:type="dcterms:W3CDTF">2026-07-24T04:56:05Z</dcterms:modified>
</cp:coreProperties>
</file>

<file path=docProps/custom.xml><?xml version="1.0" encoding="utf-8"?>
<Properties xmlns="http://schemas.openxmlformats.org/officeDocument/2006/custom-properties" xmlns:vt="http://schemas.openxmlformats.org/officeDocument/2006/docPropsVTypes"/>
</file>