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Kuwait</w:t>
      </w:r>
      <w:r>
        <w:t xml:space="preserve"> </w:t>
      </w:r>
      <w:r>
        <w:t xml:space="preserve">City</w:t>
      </w:r>
    </w:p>
    <w:bookmarkStart w:id="32" w:name="X644a2fcb4fbd7a18979e0f2aa639b7fb10e0a94"/>
    <w:p>
      <w:pPr>
        <w:pStyle w:val="Heading1"/>
      </w:pPr>
      <w:r>
        <w:t xml:space="preserve">Comprehensive Marketing Plan for Business Consultant Services in Kuwait City</w:t>
      </w:r>
    </w:p>
    <w:bookmarkStart w:id="20" w:name="executive-summary"/>
    <w:p>
      <w:pPr>
        <w:pStyle w:val="Heading2"/>
      </w:pPr>
      <w:r>
        <w:t xml:space="preserve">Executive Summary</w:t>
      </w:r>
    </w:p>
    <w:p>
      <w:pPr>
        <w:pStyle w:val="FirstParagraph"/>
      </w:pPr>
      <w:r>
        <w:t xml:space="preserve">This strategic marketing plan outlines a targeted approach for establishing and scaling business consultant services within the dynamic economic landscape of Kuwait City. As the financial and commercial hub of Kuwait, this city presents unparalleled opportunities for specialized consulting services amid ongoing Vision 2035 initiatives, diversification efforts beyond oil dependency, and growing SME sectors. Our Business Consultant firm will deliver tailored solutions addressing operational efficiency, digital transformation, and strategic growth specifically designed for Kuwaiti market dynamics. This plan details how we will capture a 15% market share in the Kuwait City business consulting segment within three years through culturally attuned strategies.</w:t>
      </w:r>
    </w:p>
    <w:bookmarkEnd w:id="20"/>
    <w:bookmarkStart w:id="21" w:name="market-analysis-kuwait-city-context"/>
    <w:p>
      <w:pPr>
        <w:pStyle w:val="Heading2"/>
      </w:pPr>
      <w:r>
        <w:t xml:space="preserve">Market Analysis: Kuwait City Context</w:t>
      </w:r>
    </w:p>
    <w:p>
      <w:pPr>
        <w:pStyle w:val="FirstParagraph"/>
      </w:pPr>
      <w:r>
        <w:t xml:space="preserve">The Kuwait City business ecosystem is undergoing significant transformation driven by national initiatives like Vision 2035, which prioritizes private sector development and economic diversification. The city hosts over 14,000 active businesses across sectors including finance (Kuwait Financial Centre), real estate, hospitality, and emerging tech startups. However, a critical gap exists in specialized consultancy services that understand Kuwaiti business culture—where decision-making hierarchies, local regulations (e.g., MOCI compliance), and Arabic-language communication are paramount. Competitors include global firms like McKinsey and local players lacking industry-specific expertise in the Kuwait context. This creates an opportunity for a Business Consultant service that marries international best practices with deep Kuwait City market intelligence.</w:t>
      </w:r>
    </w:p>
    <w:bookmarkEnd w:id="21"/>
    <w:bookmarkStart w:id="22" w:name="marketing-objectives"/>
    <w:p>
      <w:pPr>
        <w:pStyle w:val="Heading2"/>
      </w:pPr>
      <w:r>
        <w:t xml:space="preserve">Marketing Objectives</w:t>
      </w:r>
    </w:p>
    <w:p>
      <w:pPr>
        <w:numPr>
          <w:ilvl w:val="0"/>
          <w:numId w:val="1001"/>
        </w:numPr>
        <w:pStyle w:val="Compact"/>
      </w:pPr>
      <w:r>
        <w:t xml:space="preserve">Achieve 50+ client engagements within the first 18 months in Kuwait City</w:t>
      </w:r>
    </w:p>
    <w:p>
      <w:pPr>
        <w:numPr>
          <w:ilvl w:val="0"/>
          <w:numId w:val="1001"/>
        </w:numPr>
        <w:pStyle w:val="Compact"/>
      </w:pPr>
      <w:r>
        <w:t xml:space="preserve">Generate $1.2M in annual revenue from Kuwait-based clients by Year 2</w:t>
      </w:r>
    </w:p>
    <w:p>
      <w:pPr>
        <w:numPr>
          <w:ilvl w:val="0"/>
          <w:numId w:val="1001"/>
        </w:numPr>
        <w:pStyle w:val="Compact"/>
      </w:pPr>
      <w:r>
        <w:t xml:space="preserve">Secure 70% brand recall among decision-makers at leading Kuwaiti corporations within two years</w:t>
      </w:r>
    </w:p>
    <w:bookmarkEnd w:id="22"/>
    <w:bookmarkStart w:id="23" w:name="target-audience-in-kuwait-city"/>
    <w:p>
      <w:pPr>
        <w:pStyle w:val="Heading2"/>
      </w:pPr>
      <w:r>
        <w:t xml:space="preserve">Target Audience in Kuwait City</w:t>
      </w:r>
    </w:p>
    <w:p>
      <w:pPr>
        <w:pStyle w:val="FirstParagraph"/>
      </w:pPr>
      <w:r>
        <w:t xml:space="preserve">Our primary audience comprises:</w:t>
      </w:r>
    </w:p>
    <w:p>
      <w:pPr>
        <w:numPr>
          <w:ilvl w:val="0"/>
          <w:numId w:val="1002"/>
        </w:numPr>
        <w:pStyle w:val="Compact"/>
      </w:pPr>
      <w:r>
        <w:rPr>
          <w:bCs/>
          <w:b/>
        </w:rPr>
        <w:t xml:space="preserve">Kuwaiti SME Owners (60%)</w:t>
      </w:r>
      <w:r>
        <w:t xml:space="preserve">: Operating 5-100 employees, seeking growth strategies amid new regulations like the SME Development Law. They value localized solutions over generic international advice.</w:t>
      </w:r>
    </w:p>
    <w:p>
      <w:pPr>
        <w:numPr>
          <w:ilvl w:val="0"/>
          <w:numId w:val="1002"/>
        </w:numPr>
        <w:pStyle w:val="Compact"/>
      </w:pPr>
      <w:r>
        <w:rPr>
          <w:bCs/>
          <w:b/>
        </w:rPr>
        <w:t xml:space="preserve">CFOs &amp; CEOs of Multinationals (25%)</w:t>
      </w:r>
      <w:r>
        <w:t xml:space="preserve">: In Kuwait City branches requiring operational optimization and Vision 2035 alignment.</w:t>
      </w:r>
    </w:p>
    <w:p>
      <w:pPr>
        <w:numPr>
          <w:ilvl w:val="0"/>
          <w:numId w:val="1002"/>
        </w:numPr>
        <w:pStyle w:val="Compact"/>
      </w:pPr>
      <w:r>
        <w:rPr>
          <w:bCs/>
          <w:b/>
        </w:rPr>
        <w:t xml:space="preserve">Government-Linked Entities (15%)</w:t>
      </w:r>
      <w:r>
        <w:t xml:space="preserve">: Including KIPIC and MISA, needing strategic restructuring for public sector efficiency.</w:t>
      </w:r>
    </w:p>
    <w:bookmarkEnd w:id="23"/>
    <w:bookmarkStart w:id="27" w:name="marketing-strategies-tactics"/>
    <w:p>
      <w:pPr>
        <w:pStyle w:val="Heading2"/>
      </w:pPr>
      <w:r>
        <w:t xml:space="preserve">Marketing Strategies &amp; Tactics</w:t>
      </w:r>
    </w:p>
    <w:bookmarkStart w:id="24" w:name="X28a6540baf71ce5508e3e5c494c2ca9bab73d63"/>
    <w:p>
      <w:pPr>
        <w:pStyle w:val="Heading3"/>
      </w:pPr>
      <w:r>
        <w:t xml:space="preserve">Product Differentiation: The Kuwait City Advantage</w:t>
      </w:r>
    </w:p>
    <w:p>
      <w:pPr>
        <w:pStyle w:val="FirstParagraph"/>
      </w:pPr>
      <w:r>
        <w:t xml:space="preserve">We position our Business Consultant services as uniquely equipped for Kuwait City's ecosystem:</w:t>
      </w:r>
    </w:p>
    <w:p>
      <w:pPr>
        <w:numPr>
          <w:ilvl w:val="0"/>
          <w:numId w:val="1003"/>
        </w:numPr>
        <w:pStyle w:val="Compact"/>
      </w:pPr>
      <w:r>
        <w:rPr>
          <w:bCs/>
          <w:b/>
        </w:rPr>
        <w:t xml:space="preserve">Cultural Intelligence:</w:t>
      </w:r>
      <w:r>
        <w:t xml:space="preserve"> </w:t>
      </w:r>
      <w:r>
        <w:t xml:space="preserve">All consultants are Arabic-speaking, familiar with local business etiquette (e.g., relationship-building timelines), and certified in Kuwaiti commercial law.</w:t>
      </w:r>
    </w:p>
    <w:p>
      <w:pPr>
        <w:numPr>
          <w:ilvl w:val="0"/>
          <w:numId w:val="1003"/>
        </w:numPr>
        <w:pStyle w:val="Compact"/>
      </w:pPr>
      <w:r>
        <w:rPr>
          <w:bCs/>
          <w:b/>
        </w:rPr>
        <w:t xml:space="preserve">Local Case Studies:</w:t>
      </w:r>
      <w:r>
        <w:t xml:space="preserve"> </w:t>
      </w:r>
      <w:r>
        <w:t xml:space="preserve">Portfolio featuring successful implementations for Kuwaiti clients like Al-Arabiya TV network's operational restructuring and Bayanat Group’s digital transition.</w:t>
      </w:r>
    </w:p>
    <w:p>
      <w:pPr>
        <w:numPr>
          <w:ilvl w:val="0"/>
          <w:numId w:val="1003"/>
        </w:numPr>
        <w:pStyle w:val="Compact"/>
      </w:pPr>
      <w:r>
        <w:rPr>
          <w:bCs/>
          <w:b/>
        </w:rPr>
        <w:t xml:space="preserve">National Alignment:</w:t>
      </w:r>
      <w:r>
        <w:t xml:space="preserve"> </w:t>
      </w:r>
      <w:r>
        <w:t xml:space="preserve">Services directly tied to Vision 2035 pillars—e.g., "Oil Alternative Diversification Blueprint" for energy firms.</w:t>
      </w:r>
    </w:p>
    <w:bookmarkEnd w:id="24"/>
    <w:bookmarkStart w:id="25" w:name="pricing-strategy"/>
    <w:p>
      <w:pPr>
        <w:pStyle w:val="Heading3"/>
      </w:pPr>
      <w:r>
        <w:t xml:space="preserve">Pricing Strategy</w:t>
      </w:r>
    </w:p>
    <w:p>
      <w:pPr>
        <w:pStyle w:val="FirstParagraph"/>
      </w:pPr>
      <w:r>
        <w:t xml:space="preserve">Value-based pricing tailored to Kuwait City’s market:</w:t>
      </w:r>
    </w:p>
    <w:p>
      <w:pPr>
        <w:numPr>
          <w:ilvl w:val="0"/>
          <w:numId w:val="1004"/>
        </w:numPr>
        <w:pStyle w:val="Compact"/>
      </w:pPr>
      <w:r>
        <w:rPr>
          <w:bCs/>
          <w:b/>
        </w:rPr>
        <w:t xml:space="preserve">SME Package ($15,000–$25,000):</w:t>
      </w:r>
      <w:r>
        <w:t xml:space="preserve"> </w:t>
      </w:r>
      <w:r>
        <w:t xml:space="preserve">Includes 48-hour onboarding in Kuwait City, Arabic-language reports, and quarterly follow-ups.</w:t>
      </w:r>
    </w:p>
    <w:p>
      <w:pPr>
        <w:numPr>
          <w:ilvl w:val="0"/>
          <w:numId w:val="1004"/>
        </w:numPr>
        <w:pStyle w:val="Compact"/>
      </w:pPr>
      <w:r>
        <w:rPr>
          <w:bCs/>
          <w:b/>
        </w:rPr>
        <w:t xml:space="preserve">CORPORATE STRATEGY ($75,000+):</w:t>
      </w:r>
      <w:r>
        <w:t xml:space="preserve"> </w:t>
      </w:r>
      <w:r>
        <w:t xml:space="preserve">Customized Vision 2035 roadmap with government stakeholder engagement (e.g., for companies partnering with KIPIC).</w:t>
      </w:r>
    </w:p>
    <w:p>
      <w:pPr>
        <w:numPr>
          <w:ilvl w:val="0"/>
          <w:numId w:val="1004"/>
        </w:numPr>
        <w:pStyle w:val="Compact"/>
      </w:pPr>
      <w:r>
        <w:rPr>
          <w:bCs/>
          <w:b/>
        </w:rPr>
        <w:t xml:space="preserve">Government Consulting ($120,000+):</w:t>
      </w:r>
      <w:r>
        <w:t xml:space="preserve"> </w:t>
      </w:r>
      <w:r>
        <w:t xml:space="preserve">Specialized fee structure compliant with Kuwaiti public procurement regulations.</w:t>
      </w:r>
    </w:p>
    <w:bookmarkEnd w:id="25"/>
    <w:bookmarkStart w:id="26" w:name="distribution-promotion-place-promotion"/>
    <w:p>
      <w:pPr>
        <w:pStyle w:val="Heading3"/>
      </w:pPr>
      <w:r>
        <w:t xml:space="preserve">Distribution &amp; Promotion (Place &amp; Promotion)</w:t>
      </w:r>
    </w:p>
    <w:p>
      <w:pPr>
        <w:pStyle w:val="FirstParagraph"/>
      </w:pPr>
      <w:r>
        <w:t xml:space="preserve">We leverage Kuwait City’s physical and digital landscape:</w:t>
      </w:r>
    </w:p>
    <w:p>
      <w:pPr>
        <w:numPr>
          <w:ilvl w:val="0"/>
          <w:numId w:val="1005"/>
        </w:numPr>
        <w:pStyle w:val="Compact"/>
      </w:pPr>
      <w:r>
        <w:rPr>
          <w:bCs/>
          <w:b/>
        </w:rPr>
        <w:t xml:space="preserve">Physical Presence:</w:t>
      </w:r>
      <w:r>
        <w:t xml:space="preserve"> </w:t>
      </w:r>
      <w:r>
        <w:t xml:space="preserve">Establish office in Central Business District (Al-Shuwaikh), hosting monthly "Kuwait Growth Forums" at Al Hamra Mall—key networking hub for executives.</w:t>
      </w:r>
    </w:p>
    <w:p>
      <w:pPr>
        <w:numPr>
          <w:ilvl w:val="0"/>
          <w:numId w:val="1005"/>
        </w:numPr>
        <w:pStyle w:val="Compact"/>
      </w:pPr>
      <w:r>
        <w:rPr>
          <w:bCs/>
          <w:b/>
        </w:rPr>
        <w:t xml:space="preserve">Digital Campaigns:</w:t>
      </w:r>
      <w:r>
        <w:t xml:space="preserve"> </w:t>
      </w:r>
      <w:r>
        <w:t xml:space="preserve">LinkedIn targeting with Arabic/English content; partnerships with Kuwaiti influencers like @KuwaitBusiness on Instagram.</w:t>
      </w:r>
    </w:p>
    <w:p>
      <w:pPr>
        <w:numPr>
          <w:ilvl w:val="0"/>
          <w:numId w:val="1005"/>
        </w:numPr>
        <w:pStyle w:val="Compact"/>
      </w:pPr>
      <w:r>
        <w:rPr>
          <w:bCs/>
          <w:b/>
        </w:rPr>
        <w:t xml:space="preserve">Strategic Alliances:</w:t>
      </w:r>
      <w:r>
        <w:t xml:space="preserve"> </w:t>
      </w:r>
      <w:r>
        <w:t xml:space="preserve">Collaborations with Kuwait Chamber of Commerce, KIC, and local universities (e.g., KWU) for co-branded workshops.</w:t>
      </w:r>
    </w:p>
    <w:p>
      <w:pPr>
        <w:numPr>
          <w:ilvl w:val="0"/>
          <w:numId w:val="1005"/>
        </w:numPr>
        <w:pStyle w:val="Compact"/>
      </w:pPr>
      <w:r>
        <w:rPr>
          <w:bCs/>
          <w:b/>
        </w:rPr>
        <w:t xml:space="preserve">PR Strategy:</w:t>
      </w:r>
      <w:r>
        <w:t xml:space="preserve"> </w:t>
      </w:r>
      <w:r>
        <w:t xml:space="preserve">Publish op-eds in Kuwait Times on "Navigating Vision 2035 Opportunities" to position as industry thought leader.</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Local Events &amp; Sponsorships (Kuwait Chamber, Vision 2035 Forums)</w:t>
      </w:r>
    </w:p>
    <w:p>
      <w:pPr>
        <w:pStyle w:val="BodyText"/>
      </w:pPr>
      <w:r>
        <w:t xml:space="preserve">35%</w:t>
      </w:r>
    </w:p>
    <w:p>
      <w:pPr>
        <w:pStyle w:val="BodyText"/>
      </w:pPr>
      <w:r>
        <w:t xml:space="preserve">Builds credibility in Kuwait City’s business community</w:t>
      </w:r>
    </w:p>
    <w:p>
      <w:pPr>
        <w:pStyle w:val="BodyText"/>
      </w:pPr>
      <w:r>
        <w:t xml:space="preserve">Digital Marketing (LinkedIn, Google Ads targeting Kuwait)</w:t>
      </w:r>
    </w:p>
    <w:p>
      <w:pPr>
        <w:pStyle w:val="BodyText"/>
      </w:pPr>
      <w:r>
        <w:t xml:space="preserve">25%</w:t>
      </w:r>
    </w:p>
    <w:p>
      <w:pPr>
        <w:pStyle w:val="BodyText"/>
      </w:pPr>
      <w:r>
        <w:t xml:space="preserve">Reaches decision-makers via preferred platforms</w:t>
      </w:r>
    </w:p>
    <w:p>
      <w:pPr>
        <w:pStyle w:val="BodyText"/>
      </w:pPr>
      <w:r>
        <w:t xml:space="preserve">Content Creation (Arabic/English reports, case studies)</w:t>
      </w:r>
    </w:p>
    <w:p>
      <w:pPr>
        <w:pStyle w:val="BodyText"/>
      </w:pPr>
      <w:r>
        <w:t xml:space="preserve">20%</w:t>
      </w:r>
    </w:p>
    <w:p>
      <w:pPr>
        <w:pStyle w:val="BodyText"/>
      </w:pPr>
      <w:r>
        <w:t xml:space="preserve">Demonstrates expertise for Kuwaiti market needs</w:t>
      </w:r>
    </w:p>
    <w:p>
      <w:pPr>
        <w:pStyle w:val="BodyText"/>
      </w:pPr>
      <w:r>
        <w:t xml:space="preserve">Partnership Development (KIC, Universities)</w:t>
      </w:r>
    </w:p>
    <w:p>
      <w:pPr>
        <w:pStyle w:val="BodyText"/>
      </w:pPr>
      <w:r>
        <w:t xml:space="preserve">15%</w:t>
      </w:r>
    </w:p>
    <w:p>
      <w:pPr>
        <w:pStyle w:val="BodyText"/>
      </w:pPr>
      <w:r>
        <w:t xml:space="preserve">Leverages existing trust networks in Kuwait City</w:t>
      </w:r>
    </w:p>
    <w:p>
      <w:pPr>
        <w:pStyle w:val="BodyText"/>
      </w:pPr>
      <w:r>
        <w:t xml:space="preserve">Contingency</w:t>
      </w:r>
    </w:p>
    <w:p>
      <w:pPr>
        <w:pStyle w:val="BodyText"/>
      </w:pPr>
      <w:r>
        <w:t xml:space="preserve">5%</w:t>
      </w:r>
    </w:p>
    <w:p>
      <w:pPr>
        <w:pStyle w:val="BodyText"/>
      </w:pPr>
      <w:r>
        <w:t xml:space="preserve">Mitigates Kuwait-specific operational risks</w:t>
      </w:r>
    </w:p>
    <w:bookmarkEnd w:id="28"/>
    <w:bookmarkStart w:id="29" w:name="implementation-timeline-year-1"/>
    <w:p>
      <w:pPr>
        <w:pStyle w:val="Heading2"/>
      </w:pPr>
      <w:r>
        <w:t xml:space="preserve">Implementation Timeline (Year 1)</w:t>
      </w:r>
    </w:p>
    <w:p>
      <w:pPr>
        <w:numPr>
          <w:ilvl w:val="0"/>
          <w:numId w:val="1006"/>
        </w:numPr>
        <w:pStyle w:val="Compact"/>
      </w:pPr>
      <w:r>
        <w:rPr>
          <w:bCs/>
          <w:b/>
        </w:rPr>
        <w:t xml:space="preserve">Months 1-3:</w:t>
      </w:r>
      <w:r>
        <w:t xml:space="preserve"> </w:t>
      </w:r>
      <w:r>
        <w:t xml:space="preserve">Finalize Kuwait City office setup; secure first 5 partnership agreements with KIC and Kuwait Chamber.</w:t>
      </w:r>
    </w:p>
    <w:p>
      <w:pPr>
        <w:numPr>
          <w:ilvl w:val="0"/>
          <w:numId w:val="1006"/>
        </w:numPr>
        <w:pStyle w:val="Compact"/>
      </w:pPr>
      <w:r>
        <w:rPr>
          <w:bCs/>
          <w:b/>
        </w:rPr>
        <w:t xml:space="preserve">Months 4-6:</w:t>
      </w:r>
      <w:r>
        <w:t xml:space="preserve"> </w:t>
      </w:r>
      <w:r>
        <w:t xml:space="preserve">Launch "Kuwait Vision Roadmap" workshop series; publish first case study (e.g., "How X Company Reduced Costs by 27% in Kuwait City").</w:t>
      </w:r>
    </w:p>
    <w:p>
      <w:pPr>
        <w:numPr>
          <w:ilvl w:val="0"/>
          <w:numId w:val="1006"/>
        </w:numPr>
        <w:pStyle w:val="Compact"/>
      </w:pPr>
      <w:r>
        <w:rPr>
          <w:bCs/>
          <w:b/>
        </w:rPr>
        <w:t xml:space="preserve">Months 7-9:</w:t>
      </w:r>
      <w:r>
        <w:t xml:space="preserve"> </w:t>
      </w:r>
      <w:r>
        <w:t xml:space="preserve">Execute targeted LinkedIn campaigns; onboard first government entity client.</w:t>
      </w:r>
    </w:p>
    <w:p>
      <w:pPr>
        <w:numPr>
          <w:ilvl w:val="0"/>
          <w:numId w:val="1006"/>
        </w:numPr>
        <w:pStyle w:val="Compact"/>
      </w:pPr>
      <w:r>
        <w:rPr>
          <w:bCs/>
          <w:b/>
        </w:rPr>
        <w:t xml:space="preserve">Months 10-12:</w:t>
      </w:r>
      <w:r>
        <w:t xml:space="preserve"> </w:t>
      </w:r>
      <w:r>
        <w:t xml:space="preserve">Evaluate market penetration; expand to second service line (e.g., ESG Consulting for Kuwaiti firms).</w:t>
      </w:r>
    </w:p>
    <w:bookmarkEnd w:id="29"/>
    <w:bookmarkStart w:id="30" w:name="measurement-evaluation"/>
    <w:p>
      <w:pPr>
        <w:pStyle w:val="Heading2"/>
      </w:pPr>
      <w:r>
        <w:t xml:space="preserve">Measurement &amp; Evaluation</w:t>
      </w:r>
    </w:p>
    <w:p>
      <w:pPr>
        <w:pStyle w:val="FirstParagraph"/>
      </w:pPr>
      <w:r>
        <w:t xml:space="preserve">We track success using Kuwait City-specific KPIs:</w:t>
      </w:r>
    </w:p>
    <w:p>
      <w:pPr>
        <w:numPr>
          <w:ilvl w:val="0"/>
          <w:numId w:val="1007"/>
        </w:numPr>
        <w:pStyle w:val="Compact"/>
      </w:pPr>
      <w:r>
        <w:rPr>
          <w:bCs/>
          <w:b/>
        </w:rPr>
        <w:t xml:space="preserve">Lead Quality:</w:t>
      </w:r>
      <w:r>
        <w:t xml:space="preserve"> </w:t>
      </w:r>
      <w:r>
        <w:t xml:space="preserve">70% of inquiries from verified decision-makers in Kuwait City.</w:t>
      </w:r>
    </w:p>
    <w:p>
      <w:pPr>
        <w:numPr>
          <w:ilvl w:val="0"/>
          <w:numId w:val="1007"/>
        </w:numPr>
        <w:pStyle w:val="Compact"/>
      </w:pPr>
      <w:r>
        <w:rPr>
          <w:bCs/>
          <w:b/>
        </w:rPr>
        <w:t xml:space="preserve">Cultural Alignment Score:</w:t>
      </w:r>
      <w:r>
        <w:t xml:space="preserve"> </w:t>
      </w:r>
      <w:r>
        <w:t xml:space="preserve">Client satisfaction on "understanding local business context" (target: 4.5/5).</w:t>
      </w:r>
    </w:p>
    <w:p>
      <w:pPr>
        <w:numPr>
          <w:ilvl w:val="0"/>
          <w:numId w:val="1007"/>
        </w:numPr>
        <w:pStyle w:val="Compact"/>
      </w:pPr>
      <w:r>
        <w:rPr>
          <w:bCs/>
          <w:b/>
        </w:rPr>
        <w:t xml:space="preserve">Market Share Growth:</w:t>
      </w:r>
      <w:r>
        <w:t xml:space="preserve"> </w:t>
      </w:r>
      <w:r>
        <w:t xml:space="preserve">Quarterly tracking against competitors via industry surveys (e.g., KPMG Kuwait reports).</w:t>
      </w:r>
    </w:p>
    <w:p>
      <w:pPr>
        <w:numPr>
          <w:ilvl w:val="0"/>
          <w:numId w:val="1007"/>
        </w:numPr>
        <w:pStyle w:val="Compact"/>
      </w:pPr>
      <w:r>
        <w:rPr>
          <w:bCs/>
          <w:b/>
        </w:rPr>
        <w:t xml:space="preserve">National Impact:</w:t>
      </w:r>
      <w:r>
        <w:t xml:space="preserve"> </w:t>
      </w:r>
      <w:r>
        <w:t xml:space="preserve">Number of clients achieving Vision 2035 milestones (e.g., new revenue streams from non-oil sectors).</w:t>
      </w:r>
    </w:p>
    <w:bookmarkEnd w:id="30"/>
    <w:bookmarkStart w:id="31" w:name="Xe02ccade9adb775f8a9a3939f2eff23fad7346f"/>
    <w:p>
      <w:pPr>
        <w:pStyle w:val="Heading2"/>
      </w:pPr>
      <w:r>
        <w:t xml:space="preserve">Conclusion: Why This Plan Wins in Kuwait City</w:t>
      </w:r>
    </w:p>
    <w:p>
      <w:pPr>
        <w:pStyle w:val="FirstParagraph"/>
      </w:pPr>
      <w:r>
        <w:t xml:space="preserve">This Marketing Plan for Business Consultant services transcends generic international models by embedding itself within Kuwait City’s unique economic, cultural, and strategic framework. By prioritizing local language capabilities, Vision 2035 alignment, and relationship-driven engagement—hallmarks of successful operations in Kuwait—we position our firm as the indispensable partner for growth. The plan’s focus on measurable outcomes within Kuwait City's evolving market ensures we don't just enter but dominate the niche where specialized Business Consultant expertise is critically needed. As Kuwait continues its transformation, this Marketing Plan provides the actionable roadmap to become synonymous with strategic excellence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Kuwait City</dc:title>
  <dc:creator/>
  <dc:language>en</dc:language>
  <cp:keywords/>
  <dcterms:created xsi:type="dcterms:W3CDTF">2025-12-09T19:46:25Z</dcterms:created>
  <dcterms:modified xsi:type="dcterms:W3CDTF">2025-12-09T19:46:25Z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