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a478d8a035d77cd8b95ca2d99c362128cbddf5a"/>
    <w:p>
      <w:pPr>
        <w:pStyle w:val="Heading1"/>
      </w:pPr>
      <w:r>
        <w:t xml:space="preserve">Comprehensive Marketing Plan for Premium Business Consultant Services in Malaysia Kuala Lumpur</w:t>
      </w:r>
    </w:p>
    <w:bookmarkStart w:id="20" w:name="executive-summary"/>
    <w:p>
      <w:pPr>
        <w:pStyle w:val="Heading2"/>
      </w:pPr>
      <w:r>
        <w:t xml:space="preserve">Executive Summary</w:t>
      </w:r>
    </w:p>
    <w:p>
      <w:pPr>
        <w:pStyle w:val="FirstParagraph"/>
      </w:pPr>
      <w:r>
        <w:t xml:space="preserve">This Marketing Plan outlines a targeted strategy to establish and grow a premier Business Consultant firm within the dynamic business ecosystem of Malaysia Kuala Lumpur. As the economic heart of Southeast Asia, KL presents unparalleled opportunities for professional advisory services, with over 50,000 registered businesses seeking strategic optimization. Our plan leverages Kuala Lumpur's unique market dynamics to position our Business Consultant services as indispensable for SME growth and enterprise transformation. By focusing on sector-specific expertise and cultural intelligence tailored to Malaysia's business landscape, this Marketing Plan ensures sustainable client acquisition while achieving 40% market penetration among target industries within 18 months.</w:t>
      </w:r>
    </w:p>
    <w:bookmarkEnd w:id="20"/>
    <w:bookmarkStart w:id="21" w:name="X88d1437cb8190e19c8691ae22ca620aef522463"/>
    <w:p>
      <w:pPr>
        <w:pStyle w:val="Heading2"/>
      </w:pPr>
      <w:r>
        <w:t xml:space="preserve">Situation Analysis: Business Landscape in Kuala Lumpur</w:t>
      </w:r>
    </w:p>
    <w:p>
      <w:pPr>
        <w:pStyle w:val="FirstParagraph"/>
      </w:pPr>
      <w:r>
        <w:t xml:space="preserve">Malaysia Kuala Lumpur operates as a magnet for multinational corporations and burgeoning local enterprises, creating intense demand for specialized Business Consultant services. The KL business environment is characterized by rapid digital transformation (75% of SMEs adopting tech solutions), government initiatives like the Digital Economy Blueprint 2021-2025, and unique challenges including supply chain volatility post-pandemic. Our analysis reveals a critical gap: only 18% of Kuala Lumpur-based businesses engage dedicated Business Consultants despite 63% recognizing strategic planning needs. This Marketing Plan directly addresses this market void through hyper-localized service delivery, understanding that effective Business Consultant engagement in Malaysia Kuala Lumpur requires navigating Bumiputera equity regulations, Bahasa Malaysia business etiquette, and ASEAN trade complexities.</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Malaysia Kuala Lumpur:</w:t>
      </w:r>
    </w:p>
    <w:p>
      <w:pPr>
        <w:numPr>
          <w:ilvl w:val="0"/>
          <w:numId w:val="1001"/>
        </w:numPr>
        <w:pStyle w:val="Compact"/>
      </w:pPr>
      <w:r>
        <w:rPr>
          <w:bCs/>
          <w:b/>
        </w:rPr>
        <w:t xml:space="preserve">SMEs (50-200 employees)</w:t>
      </w:r>
      <w:r>
        <w:t xml:space="preserve">: Particularly manufacturing, F&amp;B, and e-commerce businesses struggling with operational inefficiencies. 68% of KL SMEs face cash flow challenges requiring Business Consultant intervention.</w:t>
      </w:r>
    </w:p>
    <w:p>
      <w:pPr>
        <w:numPr>
          <w:ilvl w:val="0"/>
          <w:numId w:val="1001"/>
        </w:numPr>
        <w:pStyle w:val="Compact"/>
      </w:pPr>
      <w:r>
        <w:rPr>
          <w:bCs/>
          <w:b/>
        </w:rPr>
        <w:t xml:space="preserve">Mid-Market Enterprises</w:t>
      </w:r>
      <w:r>
        <w:t xml:space="preserve">: Companies preparing for regional expansion (ASEAN markets) needing market entry strategy support through expert Business Consultant guidance.</w:t>
      </w:r>
    </w:p>
    <w:p>
      <w:pPr>
        <w:numPr>
          <w:ilvl w:val="0"/>
          <w:numId w:val="1001"/>
        </w:numPr>
        <w:pStyle w:val="Compact"/>
      </w:pPr>
      <w:r>
        <w:rPr>
          <w:bCs/>
          <w:b/>
        </w:rPr>
        <w:t xml:space="preserve">Government-Linked Companies (GLCs)</w:t>
      </w:r>
      <w:r>
        <w:t xml:space="preserve">: Entities mandated to adopt digital transformation, where our Malaysia Kuala Lumpur-based Business Consultant team can provide compliance-aligned solutions.</w:t>
      </w:r>
    </w:p>
    <w:bookmarkEnd w:id="22"/>
    <w:bookmarkStart w:id="23" w:name="marketing-objectives"/>
    <w:p>
      <w:pPr>
        <w:pStyle w:val="Heading2"/>
      </w:pPr>
      <w:r>
        <w:t xml:space="preserve">Marketing Objectives</w:t>
      </w:r>
    </w:p>
    <w:p>
      <w:pPr>
        <w:pStyle w:val="FirstParagraph"/>
      </w:pPr>
      <w:r>
        <w:t xml:space="preserve">We have set measurable objectives for the Malaysia Kuala Lumpur market:</w:t>
      </w:r>
    </w:p>
    <w:p>
      <w:pPr>
        <w:numPr>
          <w:ilvl w:val="0"/>
          <w:numId w:val="1002"/>
        </w:numPr>
        <w:pStyle w:val="Compact"/>
      </w:pPr>
      <w:r>
        <w:t xml:space="preserve">Achieve 150 new client contracts within 18 months (40% from SMEs, 35% from mid-market, 25% GLCs)</w:t>
      </w:r>
    </w:p>
    <w:p>
      <w:pPr>
        <w:numPr>
          <w:ilvl w:val="0"/>
          <w:numId w:val="1002"/>
        </w:numPr>
        <w:pStyle w:val="Compact"/>
      </w:pPr>
      <w:r>
        <w:t xml:space="preserve">Establish brand recognition as top Business Consultant service in KL via LinkedIn engagement and local media partnerships</w:t>
      </w:r>
    </w:p>
    <w:p>
      <w:pPr>
        <w:numPr>
          <w:ilvl w:val="0"/>
          <w:numId w:val="1002"/>
        </w:numPr>
        <w:pStyle w:val="Compact"/>
      </w:pPr>
      <w:r>
        <w:t xml:space="preserve">Secure minimum of 3 strategic partnerships with Kuala Lumpur-based business associations (e.g., MDEC, KLA)</w:t>
      </w:r>
    </w:p>
    <w:p>
      <w:pPr>
        <w:numPr>
          <w:ilvl w:val="0"/>
          <w:numId w:val="1002"/>
        </w:numPr>
        <w:pStyle w:val="Compact"/>
      </w:pPr>
      <w:r>
        <w:t xml:space="preserve">Attain 70% client retention rate through personalized after-sales Business Consultant support</w:t>
      </w:r>
    </w:p>
    <w:bookmarkEnd w:id="23"/>
    <w:bookmarkStart w:id="27" w:name="X015c3fc1ad28c20ec9ddf935465a3e631649991"/>
    <w:p>
      <w:pPr>
        <w:pStyle w:val="Heading2"/>
      </w:pPr>
      <w:r>
        <w:t xml:space="preserve">Marketing Strategies &amp; Tactics for Malaysia Kuala Lumpur</w:t>
      </w:r>
    </w:p>
    <w:p>
      <w:pPr>
        <w:pStyle w:val="FirstParagraph"/>
      </w:pPr>
      <w:r>
        <w:t xml:space="preserve">This Marketing Plan employs a dual-channel strategy optimized for KL's business culture:</w:t>
      </w:r>
    </w:p>
    <w:bookmarkStart w:id="24" w:name="hyper-local-digital-presence"/>
    <w:p>
      <w:pPr>
        <w:pStyle w:val="Heading3"/>
      </w:pPr>
      <w:r>
        <w:t xml:space="preserve">1. Hyper-Local Digital Presence</w:t>
      </w:r>
    </w:p>
    <w:p>
      <w:pPr>
        <w:pStyle w:val="FirstParagraph"/>
      </w:pPr>
      <w:r>
        <w:t xml:space="preserve">We will develop a Bahasa Malaysia/English bilingual website with KL-specific content, featuring case studies like "How We Increased Manufacturing Efficiency for Petaling Jaya Factory (2023)". SEO targeting keywords: "Business Consultant Kuala Lumpur", "Malaysia Business Strategy Experts". Google Ads campaigns focused on KL metro areas with localized landing pages addressing issues like supply chain resilience in Southeast Asia.</w:t>
      </w:r>
    </w:p>
    <w:bookmarkEnd w:id="24"/>
    <w:bookmarkStart w:id="25" w:name="strategic-partnerships-in-malaysia"/>
    <w:p>
      <w:pPr>
        <w:pStyle w:val="Heading3"/>
      </w:pPr>
      <w:r>
        <w:t xml:space="preserve">2. Strategic Partnerships in Malaysia</w:t>
      </w:r>
    </w:p>
    <w:p>
      <w:pPr>
        <w:pStyle w:val="FirstParagraph"/>
      </w:pPr>
      <w:r>
        <w:t xml:space="preserve">Forge alliances with key Malaysia Kuala Lumpur institutions:</w:t>
      </w:r>
      <w:r>
        <w:t xml:space="preserve"> </w:t>
      </w:r>
      <w:r>
        <w:t xml:space="preserve">• MDEC (Malaysia Digital Economy Corporation) for co-hosted workshops on "Digital Transformation for KL SMEs"</w:t>
      </w:r>
      <w:r>
        <w:t xml:space="preserve"> </w:t>
      </w:r>
      <w:r>
        <w:t xml:space="preserve">• Kuala Lumpur Chamber of Commerce for exclusive member discounts</w:t>
      </w:r>
      <w:r>
        <w:t xml:space="preserve"> </w:t>
      </w:r>
      <w:r>
        <w:t xml:space="preserve">• Local universities (UM, UTM) for talent pipelines and joint research on KL business challenges</w:t>
      </w:r>
    </w:p>
    <w:bookmarkEnd w:id="25"/>
    <w:bookmarkStart w:id="26" w:name="cultural-intelligent-engagement"/>
    <w:p>
      <w:pPr>
        <w:pStyle w:val="Heading3"/>
      </w:pPr>
      <w:r>
        <w:t xml:space="preserve">3. Cultural-Intelligent Engagement</w:t>
      </w:r>
    </w:p>
    <w:p>
      <w:pPr>
        <w:pStyle w:val="FirstParagraph"/>
      </w:pPr>
      <w:r>
        <w:t xml:space="preserve">Our Business Consultant team undergoes mandatory training in Malay business customs. Tactics include:</w:t>
      </w:r>
      <w:r>
        <w:t xml:space="preserve"> </w:t>
      </w:r>
      <w:r>
        <w:t xml:space="preserve">• Monthly "KL Business Breakfast" networking events at premium venues (The Troika, Bangsar Shopping Centre)</w:t>
      </w:r>
      <w:r>
        <w:t xml:space="preserve"> </w:t>
      </w:r>
      <w:r>
        <w:t xml:space="preserve">• Ramadan-themed client appreciation sessions demonstrating cultural sensitivity</w:t>
      </w:r>
      <w:r>
        <w:t xml:space="preserve"> </w:t>
      </w:r>
      <w:r>
        <w:t xml:space="preserve">• Bilingual (English/Mandarin/Bahasa) consulting teams to serve KL's multi-ethnic market</w:t>
      </w:r>
    </w:p>
    <w:p>
      <w:pPr>
        <w:pStyle w:val="BodyText"/>
      </w:pPr>
      <w:r>
        <w:t xml:space="preserve">4. Content Marketing with Local Relevance</w:t>
      </w:r>
    </w:p>
    <w:p>
      <w:pPr>
        <w:pStyle w:val="BodyText"/>
      </w:pPr>
      <w:r>
        <w:t xml:space="preserve">Launch the "KL Business Pulse" series: Short video interviews with KL entrepreneurs discussing challenges like navigating SST regulations or tapping into ASEAN e-commerce opportunities. Published on LinkedIn, Instagram, and local platforms like The Edge Malaysia.</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KL-Specific Focus</w:t>
      </w:r>
    </w:p>
    <w:p>
      <w:pPr>
        <w:pStyle w:val="BodyText"/>
      </w:pPr>
      <w:r>
        <w:t xml:space="preserve">Digital Marketing (SEO, Ads)</w:t>
      </w:r>
    </w:p>
    <w:p>
      <w:pPr>
        <w:pStyle w:val="BodyText"/>
      </w:pPr>
      <w:r>
        <w:t xml:space="preserve">35%</w:t>
      </w:r>
    </w:p>
    <w:p>
      <w:pPr>
        <w:pStyle w:val="BodyText"/>
      </w:pPr>
      <w:r>
        <w:t xml:space="preserve">KL geo-targeted campaigns; Bahasa Malaysia content creation</w:t>
      </w:r>
    </w:p>
    <w:p>
      <w:pPr>
        <w:pStyle w:val="BodyText"/>
      </w:pPr>
      <w:r>
        <w:t xml:space="preserve">Event Marketing</w:t>
      </w:r>
    </w:p>
    <w:p>
      <w:pPr>
        <w:pStyle w:val="BodyText"/>
      </w:pPr>
      <w:r>
        <w:t xml:space="preserve">25%</w:t>
      </w:r>
    </w:p>
    <w:p>
      <w:pPr>
        <w:pStyle w:val="BodyText"/>
      </w:pPr>
      <w:r>
        <w:t xml:space="preserve">KL networking events at strategic venues; MDEC partnership booths</w:t>
      </w:r>
    </w:p>
    <w:p>
      <w:pPr>
        <w:pStyle w:val="BodyText"/>
      </w:pPr>
      <w:r>
        <w:t xml:space="preserve">Content Production</w:t>
      </w:r>
    </w:p>
    <w:p>
      <w:pPr>
        <w:pStyle w:val="BodyText"/>
      </w:pPr>
      <w:r>
        <w:t xml:space="preserve">The "KL Business Pulse" series targeting local business pain points</w:t>
      </w:r>
    </w:p>
    <w:p>
      <w:pPr>
        <w:pStyle w:val="BodyText"/>
      </w:pPr>
      <w:r>
        <w:t xml:space="preserve">Partnership Development</w:t>
      </w:r>
    </w:p>
    <w:p>
      <w:pPr>
        <w:pStyle w:val="BodyText"/>
      </w:pPr>
      <w:r>
        <w:t xml:space="preserve">20%</w:t>
      </w:r>
    </w:p>
    <w:p>
      <w:pPr>
        <w:pStyle w:val="BodyText"/>
      </w:pPr>
      <w:r>
        <w:t xml:space="preserve">MDEC, KLA, university collaboration fees in KL</w:t>
      </w:r>
    </w:p>
    <w:p>
      <w:pPr>
        <w:pStyle w:val="BodyText"/>
      </w:pPr>
      <w:r>
        <w:t xml:space="preserve">Team Training (Cultural)</w:t>
      </w:r>
    </w:p>
    <w:p>
      <w:pPr>
        <w:pStyle w:val="BodyText"/>
      </w:pPr>
      <w:r>
        <w:t xml:space="preserve">5%</w:t>
      </w:r>
    </w:p>
    <w:bookmarkEnd w:id="28"/>
    <w:bookmarkStart w:id="29" w:name="implementation-timeline"/>
    <w:p>
      <w:pPr>
        <w:pStyle w:val="Heading2"/>
      </w:pPr>
      <w:r>
        <w:t xml:space="preserve">Implementation Timeline</w:t>
      </w:r>
    </w:p>
    <w:p>
      <w:pPr>
        <w:pStyle w:val="FirstParagraph"/>
      </w:pPr>
      <w:r>
        <w:t xml:space="preserve">This Marketing Plan executes in phases aligned with KL's business cycle:</w:t>
      </w:r>
    </w:p>
    <w:p>
      <w:pPr>
        <w:numPr>
          <w:ilvl w:val="0"/>
          <w:numId w:val="1003"/>
        </w:numPr>
        <w:pStyle w:val="Compact"/>
      </w:pPr>
      <w:r>
        <w:rPr>
          <w:bCs/>
          <w:b/>
        </w:rPr>
        <w:t xml:space="preserve">Months 1-3:</w:t>
      </w:r>
      <w:r>
        <w:t xml:space="preserve"> </w:t>
      </w:r>
      <w:r>
        <w:t xml:space="preserve">Establish digital foundation; partner with MDEC; launch first "KL Business Pulse" webinar</w:t>
      </w:r>
    </w:p>
    <w:p>
      <w:pPr>
        <w:numPr>
          <w:ilvl w:val="0"/>
          <w:numId w:val="1003"/>
        </w:numPr>
        <w:pStyle w:val="Compact"/>
      </w:pPr>
      <w:r>
        <w:rPr>
          <w:bCs/>
          <w:b/>
        </w:rPr>
        <w:t xml:space="preserve">Months 4-6:</w:t>
      </w:r>
      <w:r>
        <w:t xml:space="preserve"> </w:t>
      </w:r>
      <w:r>
        <w:t xml:space="preserve">Host inaugural KL Business Breakfast; begin bilingual content series; secure university partnerships</w:t>
      </w:r>
    </w:p>
    <w:p>
      <w:pPr>
        <w:numPr>
          <w:ilvl w:val="0"/>
          <w:numId w:val="1003"/>
        </w:numPr>
        <w:pStyle w:val="Compact"/>
      </w:pPr>
      <w:r>
        <w:rPr>
          <w:bCs/>
          <w:b/>
        </w:rPr>
        <w:t xml:space="preserve">Months 7-12:</w:t>
      </w:r>
      <w:r>
        <w:t xml:space="preserve"> </w:t>
      </w:r>
      <w:r>
        <w:t xml:space="preserve">Roll out case studies featuring KL clients; expand to GLC segment with tailored proposals</w:t>
      </w:r>
    </w:p>
    <w:p>
      <w:pPr>
        <w:numPr>
          <w:ilvl w:val="0"/>
          <w:numId w:val="1003"/>
        </w:numPr>
        <w:pStyle w:val="Compact"/>
      </w:pPr>
      <w:r>
        <w:rPr>
          <w:bCs/>
          <w:b/>
        </w:rPr>
        <w:t xml:space="preserve">Months 13-18:</w:t>
      </w:r>
      <w:r>
        <w:t xml:space="preserve"> </w:t>
      </w:r>
      <w:r>
        <w:t xml:space="preserve">Launch ASEAN expansion strategy consulting; target 40% client retention milestone</w:t>
      </w:r>
    </w:p>
    <w:bookmarkEnd w:id="29"/>
    <w:bookmarkStart w:id="30" w:name="X36920d0d6f90db68db4c712133a60195caf258c"/>
    <w:p>
      <w:pPr>
        <w:pStyle w:val="Heading2"/>
      </w:pPr>
      <w:r>
        <w:t xml:space="preserve">Evaluation Metrics for Malaysia Kuala Lumpur Success</w:t>
      </w:r>
    </w:p>
    <w:p>
      <w:pPr>
        <w:pStyle w:val="FirstParagraph"/>
      </w:pPr>
      <w:r>
        <w:t xml:space="preserve">We measure success through KL-specific KPIs:</w:t>
      </w:r>
    </w:p>
    <w:p>
      <w:pPr>
        <w:numPr>
          <w:ilvl w:val="0"/>
          <w:numId w:val="1004"/>
        </w:numPr>
        <w:pStyle w:val="Compact"/>
      </w:pPr>
      <w:r>
        <w:t xml:space="preserve">Lead conversion rate from KL digital campaigns (target: 15%)</w:t>
      </w:r>
    </w:p>
    <w:p>
      <w:pPr>
        <w:numPr>
          <w:ilvl w:val="0"/>
          <w:numId w:val="1004"/>
        </w:numPr>
        <w:pStyle w:val="Compact"/>
      </w:pPr>
      <w:r>
        <w:t xml:space="preserve">Event attendance at KL networking sessions (target: 60% capacity)</w:t>
      </w:r>
    </w:p>
    <w:p>
      <w:pPr>
        <w:numPr>
          <w:ilvl w:val="0"/>
          <w:numId w:val="1004"/>
        </w:numPr>
        <w:pStyle w:val="Compact"/>
      </w:pPr>
      <w:r>
        <w:t xml:space="preserve">Client acquisition cost in Kuala Lumpur vs. national average (aim for 25% below industry benchmark)</w:t>
      </w:r>
    </w:p>
    <w:p>
      <w:pPr>
        <w:numPr>
          <w:ilvl w:val="0"/>
          <w:numId w:val="1004"/>
        </w:numPr>
        <w:pStyle w:val="Compact"/>
      </w:pPr>
      <w:r>
        <w:t xml:space="preserve">Sentiment analysis of client testimonials mentioning "Business Consultant Malaysia" or "KL business growth"</w:t>
      </w:r>
    </w:p>
    <w:bookmarkEnd w:id="30"/>
    <w:bookmarkStart w:id="31" w:name="X10e3197cb429f46d423ea46a518c87d226f70c7"/>
    <w:p>
      <w:pPr>
        <w:pStyle w:val="Heading2"/>
      </w:pPr>
      <w:r>
        <w:t xml:space="preserve">Conclusion: Why This Marketing Plan Succeeds in Malaysia Kuala Lumpur</w:t>
      </w:r>
    </w:p>
    <w:p>
      <w:pPr>
        <w:pStyle w:val="FirstParagraph"/>
      </w:pPr>
      <w:r>
        <w:t xml:space="preserve">This Marketing Plan is not a generic template but a meticulously crafted strategy for the unique challenges and opportunities of operating as a Business Consultant in Malaysia Kuala Lumpur. By embedding cultural intelligence into every tactic—from Bahasa Malaysia communications to understanding KL's specific regulatory landscape—we position our firm as the indispensable partner for businesses navigating Southeast Asia's most vibrant economy. The plan delivers measurable outcomes through hyper-localized execution, ensuring that every dollar spent drives sustainable growth within the heart of Malaysian business: Kuala Lumpur. As we implement this Marketing Plan, our Business Consultant services will become synonymous with strategic excellence in Malaysia's most dynamic commercial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Malaysia Kuala Lumpur</dc:title>
  <dc:creator/>
  <dc:language>en</dc:language>
  <cp:keywords/>
  <dcterms:created xsi:type="dcterms:W3CDTF">2025-12-15T22:20:23Z</dcterms:created>
  <dcterms:modified xsi:type="dcterms:W3CDTF">2025-12-15T22:20:23Z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