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Qatar</w:t>
      </w:r>
      <w:r>
        <w:t xml:space="preserve"> </w:t>
      </w:r>
      <w:r>
        <w:t xml:space="preserve">Doha</w:t>
      </w:r>
    </w:p>
    <w:bookmarkStart w:id="33" w:name="Xccfe32a0419cbedcac948e2b62ab3ae77a05762"/>
    <w:p>
      <w:pPr>
        <w:pStyle w:val="Heading1"/>
      </w:pPr>
      <w:r>
        <w:t xml:space="preserve">Comprehensive Marketing Plan for Elite Business Consultant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consulting services tailored specifically to the dynamic economic landscape of Qatar Doha. As Qatar accelerates its Vision 2030 initiatives, there is an unprecedented demand for specialized business consultancy that understands local market nuances, regulatory frameworks, and cultural context. Our Business Consultant firm will position itself as the premier strategic partner for multinational corporations, Qatari conglomerates, and emerging startups seeking sustainable growth in the Doha business ecosystem. This plan details our market approach to capture 15% of the target consultancy segment within three years through hyper-localized solutions.</w:t>
      </w:r>
    </w:p>
    <w:bookmarkEnd w:id="20"/>
    <w:bookmarkStart w:id="21" w:name="market-analysis-qatar-doha-context"/>
    <w:p>
      <w:pPr>
        <w:pStyle w:val="Heading2"/>
      </w:pPr>
      <w:r>
        <w:t xml:space="preserve">Market Analysis: Qatar Doha Context</w:t>
      </w:r>
    </w:p>
    <w:p>
      <w:pPr>
        <w:pStyle w:val="FirstParagraph"/>
      </w:pPr>
      <w:r>
        <w:t xml:space="preserve">The Qatari economy is undergoing transformative expansion with over $100 billion allocated to infrastructure, tourism, and knowledge-based sectors under Vision 2030. Doha's business environment demands consultants who navigate complex local regulations, Emirati ownership requirements (e.g., 51% Qatari equity), and unique cultural protocols. Current market gaps include:</w:t>
      </w:r>
    </w:p>
    <w:p>
      <w:pPr>
        <w:numPr>
          <w:ilvl w:val="0"/>
          <w:numId w:val="1001"/>
        </w:numPr>
        <w:pStyle w:val="Compact"/>
      </w:pPr>
      <w:r>
        <w:t xml:space="preserve">Shortage of consultants with deep Qatar-specific regulatory expertise</w:t>
      </w:r>
    </w:p>
    <w:p>
      <w:pPr>
        <w:numPr>
          <w:ilvl w:val="0"/>
          <w:numId w:val="1001"/>
        </w:numPr>
        <w:pStyle w:val="Compact"/>
      </w:pPr>
      <w:r>
        <w:t xml:space="preserve">Limited focus on post-World Cup economic diversification opportunities</w:t>
      </w:r>
    </w:p>
    <w:p>
      <w:pPr>
        <w:numPr>
          <w:ilvl w:val="0"/>
          <w:numId w:val="1001"/>
        </w:numPr>
        <w:pStyle w:val="Compact"/>
      </w:pPr>
      <w:r>
        <w:t xml:space="preserve">High demand for ESG (Environmental, Social, Governance) strategy implementation aligned with Qatar National Vision 2030</w:t>
      </w:r>
    </w:p>
    <w:p>
      <w:pPr>
        <w:pStyle w:val="FirstParagraph"/>
      </w:pPr>
      <w:r>
        <w:t xml:space="preserve">Our competitive analysis reveals that 78% of existing firms offer generic global consulting without Doha market specialization, creating a critical opportunity for our tailored approach.</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Primary Needs</w:t>
      </w:r>
    </w:p>
    <w:p>
      <w:pPr>
        <w:pStyle w:val="BodyText"/>
      </w:pPr>
      <w:r>
        <w:t xml:space="preserve">Multinational Corporations (MNCs)</w:t>
      </w:r>
    </w:p>
    <w:p>
      <w:pPr>
        <w:pStyle w:val="BodyText"/>
      </w:pPr>
      <w:r>
        <w:t xml:space="preserve">Fortune 500 companies expanding in Qatar (e.g., Siemens, Bosch)</w:t>
      </w:r>
    </w:p>
    <w:p>
      <w:pPr>
        <w:pStyle w:val="BodyText"/>
      </w:pPr>
      <w:r>
        <w:t xml:space="preserve">Regulatory compliance, market entry strategy, Qatari partnership structuring</w:t>
      </w:r>
    </w:p>
    <w:p>
      <w:pPr>
        <w:pStyle w:val="BodyText"/>
      </w:pPr>
      <w:r>
        <w:t xml:space="preserve">Qatar-based Conglomerates</w:t>
      </w:r>
    </w:p>
    <w:p>
      <w:pPr>
        <w:pStyle w:val="BodyText"/>
      </w:pPr>
      <w:r>
        <w:t xml:space="preserve">Namal Group, Qatar Investment Authority (QIA) subsidiaries</w:t>
      </w:r>
    </w:p>
    <w:p>
      <w:pPr>
        <w:pStyle w:val="BodyText"/>
      </w:pPr>
      <w:r>
        <w:t xml:space="preserve">Diversification planning for non-oil sectors (healthcare, tourism)</w:t>
      </w:r>
    </w:p>
    <w:p>
      <w:pPr>
        <w:pStyle w:val="BodyText"/>
      </w:pPr>
      <w:r>
        <w:t xml:space="preserve">Emerging Startups &amp; SMEs</w:t>
      </w:r>
    </w:p>
    <w:p>
      <w:pPr>
        <w:pStyle w:val="BodyText"/>
      </w:pPr>
      <w:r>
        <w:t xml:space="preserve">Newly registered Doha-based ventures in tech and hospitality</w:t>
      </w:r>
    </w:p>
    <w:p>
      <w:pPr>
        <w:pStyle w:val="BodyText"/>
      </w:pPr>
      <w:r>
        <w:t xml:space="preserve">Business model validation, funding strategy, local market adaptation</w:t>
      </w:r>
    </w:p>
    <w:bookmarkEnd w:id="22"/>
    <w:bookmarkStart w:id="23" w:name="unique-value-proposition-uvp"/>
    <w:p>
      <w:pPr>
        <w:pStyle w:val="Heading2"/>
      </w:pPr>
      <w:r>
        <w:t xml:space="preserve">Unique Value Proposition (UVP)</w:t>
      </w:r>
    </w:p>
    <w:p>
      <w:pPr>
        <w:pStyle w:val="FirstParagraph"/>
      </w:pPr>
      <w:r>
        <w:t xml:space="preserve">We position our Business Consultant service as the only firm combining:</w:t>
      </w:r>
    </w:p>
    <w:p>
      <w:pPr>
        <w:numPr>
          <w:ilvl w:val="0"/>
          <w:numId w:val="1002"/>
        </w:numPr>
        <w:pStyle w:val="Compact"/>
      </w:pPr>
      <w:r>
        <w:rPr>
          <w:bCs/>
          <w:b/>
        </w:rPr>
        <w:t xml:space="preserve">Deep Qatar Doha Intelligence:</w:t>
      </w:r>
      <w:r>
        <w:t xml:space="preserve"> </w:t>
      </w:r>
      <w:r>
        <w:t xml:space="preserve">100% of consultants are Gulf-natives with 8+ years' local experience in Qatari business law and cultural protocols</w:t>
      </w:r>
    </w:p>
    <w:p>
      <w:pPr>
        <w:numPr>
          <w:ilvl w:val="0"/>
          <w:numId w:val="1002"/>
        </w:numPr>
        <w:pStyle w:val="Compact"/>
      </w:pPr>
      <w:r>
        <w:rPr>
          <w:bCs/>
          <w:b/>
        </w:rPr>
        <w:t xml:space="preserve">Vision 2030 Alignment:</w:t>
      </w:r>
      <w:r>
        <w:t xml:space="preserve"> </w:t>
      </w:r>
      <w:r>
        <w:t xml:space="preserve">Solutions directly mapped to Qatar's National Development Strategy priorities</w:t>
      </w:r>
    </w:p>
    <w:p>
      <w:pPr>
        <w:numPr>
          <w:ilvl w:val="0"/>
          <w:numId w:val="1002"/>
        </w:numPr>
        <w:pStyle w:val="Compact"/>
      </w:pPr>
      <w:r>
        <w:rPr>
          <w:bCs/>
          <w:b/>
        </w:rPr>
        <w:t xml:space="preserve">Post-World Cup Acceleration:</w:t>
      </w:r>
      <w:r>
        <w:t xml:space="preserve"> </w:t>
      </w:r>
      <w:r>
        <w:t xml:space="preserve">Specialized services for tourism, hospitality, and sports sector recovery &amp; growth</w:t>
      </w:r>
    </w:p>
    <w:bookmarkEnd w:id="23"/>
    <w:bookmarkStart w:id="28" w:name="marketing-strategies-tactics"/>
    <w:p>
      <w:pPr>
        <w:pStyle w:val="Heading2"/>
      </w:pPr>
      <w:r>
        <w:t xml:space="preserve">Marketing Strategies &amp; Tactics</w:t>
      </w:r>
    </w:p>
    <w:bookmarkStart w:id="24" w:name="X6019bf4b06fb8b26b2dd6be469b440ba85327e6"/>
    <w:p>
      <w:pPr>
        <w:pStyle w:val="Heading3"/>
      </w:pPr>
      <w:r>
        <w:t xml:space="preserve">Product Strategy: Tailored Service Offerings</w:t>
      </w:r>
    </w:p>
    <w:p>
      <w:pPr>
        <w:pStyle w:val="FirstParagraph"/>
      </w:pPr>
      <w:r>
        <w:t xml:space="preserve">We offer three core service packages designed for Doha's market needs:</w:t>
      </w:r>
    </w:p>
    <w:p>
      <w:pPr>
        <w:numPr>
          <w:ilvl w:val="0"/>
          <w:numId w:val="1003"/>
        </w:numPr>
        <w:pStyle w:val="Compact"/>
      </w:pPr>
      <w:r>
        <w:rPr>
          <w:bCs/>
          <w:b/>
        </w:rPr>
        <w:t xml:space="preserve">Doha Market Entry Accelerator (DMIA):</w:t>
      </w:r>
      <w:r>
        <w:t xml:space="preserve"> </w:t>
      </w:r>
      <w:r>
        <w:t xml:space="preserve">90-day roadmap for MNCs including Qatari partner identification and regulatory navigation (e.g., Ministry of Commerce approvals)</w:t>
      </w:r>
    </w:p>
    <w:p>
      <w:pPr>
        <w:numPr>
          <w:ilvl w:val="0"/>
          <w:numId w:val="1003"/>
        </w:numPr>
        <w:pStyle w:val="Compact"/>
      </w:pPr>
      <w:r>
        <w:rPr>
          <w:bCs/>
          <w:b/>
        </w:rPr>
        <w:t xml:space="preserve">Vision 2030 Strategic Alignment Suite:</w:t>
      </w:r>
      <w:r>
        <w:t xml:space="preserve"> </w:t>
      </w:r>
      <w:r>
        <w:t xml:space="preserve">Custom ESG integration, talent development, and sector-specific diversification plans for Qatari enterprises</w:t>
      </w:r>
    </w:p>
    <w:p>
      <w:pPr>
        <w:numPr>
          <w:ilvl w:val="0"/>
          <w:numId w:val="1003"/>
        </w:numPr>
        <w:pStyle w:val="Compact"/>
      </w:pPr>
      <w:r>
        <w:rPr>
          <w:bCs/>
          <w:b/>
        </w:rPr>
        <w:t xml:space="preserve">Doha Startup Catalyst Program:</w:t>
      </w:r>
      <w:r>
        <w:t xml:space="preserve"> </w:t>
      </w:r>
      <w:r>
        <w:t xml:space="preserve">Lean startup methodology adapted for local market conditions with access to Qatar Financial Centre (QFC) investor networks</w:t>
      </w:r>
    </w:p>
    <w:bookmarkEnd w:id="24"/>
    <w:bookmarkStart w:id="25" w:name="pricing-strategy-value-based-model"/>
    <w:p>
      <w:pPr>
        <w:pStyle w:val="Heading3"/>
      </w:pPr>
      <w:r>
        <w:t xml:space="preserve">Pricing Strategy: Value-Based Model</w:t>
      </w:r>
    </w:p>
    <w:p>
      <w:pPr>
        <w:pStyle w:val="FirstParagraph"/>
      </w:pPr>
      <w:r>
        <w:t xml:space="preserve">Rejecting hourly rates in favor of value-based pricing aligned with client ROI:</w:t>
      </w:r>
    </w:p>
    <w:p>
      <w:pPr>
        <w:numPr>
          <w:ilvl w:val="0"/>
          <w:numId w:val="1004"/>
        </w:numPr>
        <w:pStyle w:val="Compact"/>
      </w:pPr>
      <w:r>
        <w:t xml:space="preserve">DMIA: $85,000 (25% upfront, 75% post-implementation success metrics)</w:t>
      </w:r>
    </w:p>
    <w:p>
      <w:pPr>
        <w:numPr>
          <w:ilvl w:val="0"/>
          <w:numId w:val="1004"/>
        </w:numPr>
        <w:pStyle w:val="Compact"/>
      </w:pPr>
      <w:r>
        <w:t xml:space="preserve">Vision 2030 Suite: $195,000 (phased payments tied to KPIs like new revenue streams or cost savings)</w:t>
      </w:r>
    </w:p>
    <w:p>
      <w:pPr>
        <w:numPr>
          <w:ilvl w:val="0"/>
          <w:numId w:val="1004"/>
        </w:numPr>
        <w:pStyle w:val="Compact"/>
      </w:pPr>
      <w:r>
        <w:t xml:space="preserve">Startup Catalyst: $48,500 (includes free QFC licensing support)</w:t>
      </w:r>
    </w:p>
    <w:p>
      <w:pPr>
        <w:pStyle w:val="FirstParagraph"/>
      </w:pPr>
      <w:r>
        <w:t xml:space="preserve">This approach reduces perceived risk while reflecting the premium value delivered in Qatar's high-stakes business environment.</w:t>
      </w:r>
    </w:p>
    <w:bookmarkEnd w:id="25"/>
    <w:bookmarkStart w:id="26" w:name="place-distribution-hyper-local-presence"/>
    <w:p>
      <w:pPr>
        <w:pStyle w:val="Heading3"/>
      </w:pPr>
      <w:r>
        <w:t xml:space="preserve">Place &amp; Distribution: Hyper-Local Presence</w:t>
      </w:r>
    </w:p>
    <w:p>
      <w:pPr>
        <w:pStyle w:val="FirstParagraph"/>
      </w:pPr>
      <w:r>
        <w:t xml:space="preserve">Our physical presence in Doha's Business District (Al Waab) establishes credibility, complemented by:</w:t>
      </w:r>
    </w:p>
    <w:p>
      <w:pPr>
        <w:numPr>
          <w:ilvl w:val="0"/>
          <w:numId w:val="1005"/>
        </w:numPr>
        <w:pStyle w:val="Compact"/>
      </w:pPr>
      <w:r>
        <w:t xml:space="preserve">Dedicated Qatar Doha portal on our website with localized content (e.g., "Qatar Labor Law Updates for Consultants")</w:t>
      </w:r>
    </w:p>
    <w:p>
      <w:pPr>
        <w:numPr>
          <w:ilvl w:val="0"/>
          <w:numId w:val="1005"/>
        </w:numPr>
        <w:pStyle w:val="Compact"/>
      </w:pPr>
      <w:r>
        <w:t xml:space="preserve">Strategic partnerships with Qatar Chamber of Commerce and Qatari SMEs Development Center</w:t>
      </w:r>
    </w:p>
    <w:p>
      <w:pPr>
        <w:numPr>
          <w:ilvl w:val="0"/>
          <w:numId w:val="1005"/>
        </w:numPr>
        <w:pStyle w:val="Compact"/>
      </w:pPr>
      <w:r>
        <w:t xml:space="preserve">Quarterly in-person workshops at The Pearl-Qatar and Katara Cultural Village</w:t>
      </w:r>
    </w:p>
    <w:bookmarkEnd w:id="26"/>
    <w:bookmarkStart w:id="27" w:name="X74b2f1fb2098a577e52a1331c7612ade5791c31"/>
    <w:p>
      <w:pPr>
        <w:pStyle w:val="Heading3"/>
      </w:pPr>
      <w:r>
        <w:t xml:space="preserve">Promotion Strategy: Culturally Resonant Channels</w:t>
      </w:r>
    </w:p>
    <w:p>
      <w:pPr>
        <w:pStyle w:val="FirstParagraph"/>
      </w:pPr>
      <w:r>
        <w:t xml:space="preserve">Our integrated promotion targets Qatar Doha's media landscape with culturally attuned methods:</w:t>
      </w:r>
    </w:p>
    <w:p>
      <w:pPr>
        <w:numPr>
          <w:ilvl w:val="0"/>
          <w:numId w:val="1006"/>
        </w:numPr>
        <w:pStyle w:val="Compact"/>
      </w:pPr>
      <w:r>
        <w:rPr>
          <w:bCs/>
          <w:b/>
        </w:rPr>
        <w:t xml:space="preserve">Thought Leadership:</w:t>
      </w:r>
      <w:r>
        <w:t xml:space="preserve"> </w:t>
      </w:r>
      <w:r>
        <w:t xml:space="preserve">Publish "Qatar Economic Pulse" reports in Arabic/English for Al Jazeera Business, featuring insights on Qatari market shifts</w:t>
      </w:r>
    </w:p>
    <w:p>
      <w:pPr>
        <w:numPr>
          <w:ilvl w:val="0"/>
          <w:numId w:val="1006"/>
        </w:numPr>
        <w:pStyle w:val="Compact"/>
      </w:pPr>
      <w:r>
        <w:rPr>
          <w:bCs/>
          <w:b/>
        </w:rPr>
        <w:t xml:space="preserve">Strategic Partnerships:</w:t>
      </w:r>
      <w:r>
        <w:t xml:space="preserve"> </w:t>
      </w:r>
      <w:r>
        <w:t xml:space="preserve">Co-host Vision 2030 workshops with Qatar University's Business School and Doha Bank</w:t>
      </w:r>
    </w:p>
    <w:p>
      <w:pPr>
        <w:numPr>
          <w:ilvl w:val="0"/>
          <w:numId w:val="1006"/>
        </w:numPr>
        <w:pStyle w:val="Compact"/>
      </w:pPr>
      <w:r>
        <w:rPr>
          <w:bCs/>
          <w:b/>
        </w:rPr>
        <w:t xml:space="preserve">Digital Targeting:</w:t>
      </w:r>
      <w:r>
        <w:t xml:space="preserve"> </w:t>
      </w:r>
      <w:r>
        <w:t xml:space="preserve">LinkedIn campaigns targeting C-suite in Doha with case studies (e.g., "How we helped a German firm achieve 37% market share in Qatari healthcare within 18 months")</w:t>
      </w:r>
    </w:p>
    <w:p>
      <w:pPr>
        <w:numPr>
          <w:ilvl w:val="0"/>
          <w:numId w:val="1006"/>
        </w:numPr>
        <w:pStyle w:val="Compact"/>
      </w:pPr>
      <w:r>
        <w:rPr>
          <w:bCs/>
          <w:b/>
        </w:rPr>
        <w:t xml:space="preserve">Cultural Engagement:</w:t>
      </w:r>
      <w:r>
        <w:t xml:space="preserve"> </w:t>
      </w:r>
      <w:r>
        <w:t xml:space="preserve">Sponsor Qatar National Day events and participate in Doha Business Forum as exclusive speaker</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Expected ROI Metric</w:t>
            </w:r>
          </w:p>
        </w:tc>
      </w:tr>
      <w:tr>
        <w:tc>
          <w:tcPr/>
          <w:p>
            <w:pPr>
              <w:pStyle w:val="Compact"/>
              <w:jc w:val="left"/>
            </w:pPr>
            <w:r>
              <w:t xml:space="preserve">Cultural Event Sponsorships (Qatar National Day, Doha Forum)</w:t>
            </w:r>
          </w:p>
        </w:tc>
        <w:tc>
          <w:tcPr/>
          <w:p>
            <w:pPr>
              <w:pStyle w:val="Compact"/>
              <w:jc w:val="left"/>
            </w:pPr>
            <w:r>
              <w:t xml:space="preserve">$45,000</w:t>
            </w:r>
          </w:p>
        </w:tc>
        <w:tc>
          <w:tcPr/>
          <w:p>
            <w:pPr>
              <w:pStyle w:val="Compact"/>
              <w:jc w:val="left"/>
            </w:pPr>
            <w:r>
              <w:t xml:space="preserve">15 qualified leads per event; 25% conversion rate to proposals</w:t>
            </w:r>
          </w:p>
        </w:tc>
      </w:tr>
      <w:tr>
        <w:tc>
          <w:tcPr/>
          <w:p>
            <w:pPr>
              <w:pStyle w:val="Compact"/>
              <w:jc w:val="left"/>
            </w:pPr>
            <w:r>
              <w:t xml:space="preserve">Doha Digital Campaigns (LinkedIn, Local Media)</w:t>
            </w:r>
          </w:p>
        </w:tc>
        <w:tc>
          <w:tcPr/>
          <w:p>
            <w:pPr>
              <w:pStyle w:val="Compact"/>
              <w:jc w:val="left"/>
            </w:pPr>
            <w:r>
              <w:t xml:space="preserve">$68,000</w:t>
            </w:r>
          </w:p>
        </w:tc>
        <w:tc>
          <w:tcPr/>
          <w:p>
            <w:pPr>
              <w:pStyle w:val="Compact"/>
              <w:jc w:val="left"/>
            </w:pPr>
            <w:r>
              <w:t xml:space="preserve">30% increase in website traffic from Doha-based domains</w:t>
            </w:r>
          </w:p>
        </w:tc>
      </w:tr>
      <w:tr>
        <w:tc>
          <w:tcPr/>
          <w:p>
            <w:pPr>
              <w:pStyle w:val="Compact"/>
              <w:jc w:val="left"/>
            </w:pPr>
            <w:r>
              <w:t xml:space="preserve">Content Creation (Arabic/English Reports)</w:t>
            </w:r>
          </w:p>
        </w:tc>
        <w:tc>
          <w:tcPr/>
          <w:p>
            <w:pPr>
              <w:pStyle w:val="Compact"/>
              <w:jc w:val="left"/>
            </w:pPr>
            <w:r>
              <w:t xml:space="preserve">$32,500</w:t>
            </w:r>
          </w:p>
        </w:tc>
        <w:tc>
          <w:tcPr/>
          <w:p>
            <w:pPr>
              <w:pStyle w:val="Compact"/>
              <w:jc w:val="left"/>
            </w:pPr>
            <w:r>
              <w:t xml:space="preserve">150+ lead downloads per report; 40% lead-to-meeting conversion</w:t>
            </w:r>
          </w:p>
        </w:tc>
      </w:tr>
      <w:tr>
        <w:tc>
          <w:tcPr/>
          <w:p>
            <w:pPr>
              <w:pStyle w:val="Compact"/>
              <w:jc w:val="left"/>
            </w:pPr>
            <w:r>
              <w:t xml:space="preserve">Strategic Partnerships (Qatar Chamber, QFC)</w:t>
            </w:r>
          </w:p>
        </w:tc>
        <w:tc>
          <w:tcPr/>
          <w:p>
            <w:pPr>
              <w:pStyle w:val="Compact"/>
              <w:jc w:val="left"/>
            </w:pPr>
            <w:r>
              <w:t xml:space="preserve">$28,750</w:t>
            </w:r>
          </w:p>
        </w:tc>
        <w:tc>
          <w:tcPr/>
          <w:p>
            <w:pPr>
              <w:pStyle w:val="Compact"/>
              <w:jc w:val="left"/>
            </w:pPr>
            <w:r>
              <w:t xml:space="preserve">2-3 co-branded initiatives generating joint leads</w:t>
            </w:r>
          </w:p>
        </w:tc>
      </w:tr>
    </w:tbl>
    <w:bookmarkEnd w:id="29"/>
    <w:bookmarkStart w:id="30"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physical office in Doha Business District; launch Arabic/English website with Qatari market content; secure Qatar Chamber partnership.</w:t>
      </w:r>
    </w:p>
    <w:p>
      <w:pPr>
        <w:pStyle w:val="BodyText"/>
      </w:pPr>
      <w:r>
        <w:rPr>
          <w:bCs/>
          <w:b/>
        </w:rPr>
        <w:t xml:space="preserve">Months 4-6:</w:t>
      </w:r>
      <w:r>
        <w:t xml:space="preserve"> </w:t>
      </w:r>
      <w:r>
        <w:t xml:space="preserve">Execute first "Vision 2030 Alignment Workshop" at Katara Cultural Village; publish inaugural Qatar Economic Pulse report.</w:t>
      </w:r>
    </w:p>
    <w:p>
      <w:pPr>
        <w:pStyle w:val="BodyText"/>
      </w:pPr>
      <w:r>
        <w:rPr>
          <w:bCs/>
          <w:b/>
        </w:rPr>
        <w:t xml:space="preserve">Months 7-12:</w:t>
      </w:r>
      <w:r>
        <w:t xml:space="preserve"> </w:t>
      </w:r>
      <w:r>
        <w:t xml:space="preserve">Achieve $500K in contracted services; expand Startup Catalyst Program to 15 Doha-based clients; secure three major MNC partnerships.</w:t>
      </w:r>
    </w:p>
    <w:bookmarkEnd w:id="30"/>
    <w:bookmarkStart w:id="31" w:name="evaluation-control"/>
    <w:p>
      <w:pPr>
        <w:pStyle w:val="Heading2"/>
      </w:pPr>
      <w:r>
        <w:t xml:space="preserve">Evaluation &amp; Control</w:t>
      </w:r>
    </w:p>
    <w:p>
      <w:pPr>
        <w:pStyle w:val="FirstParagraph"/>
      </w:pPr>
      <w:r>
        <w:t xml:space="preserve">We track success through Qatar-specific KPIs:</w:t>
      </w:r>
    </w:p>
    <w:p>
      <w:pPr>
        <w:numPr>
          <w:ilvl w:val="0"/>
          <w:numId w:val="1007"/>
        </w:numPr>
        <w:pStyle w:val="Compact"/>
      </w:pPr>
      <w:r>
        <w:rPr>
          <w:bCs/>
          <w:b/>
        </w:rPr>
        <w:t xml:space="preserve">Market Penetration:</w:t>
      </w:r>
      <w:r>
        <w:t xml:space="preserve"> </w:t>
      </w:r>
      <w:r>
        <w:t xml:space="preserve">% share of target consultancy market in Doha (Goal: 8% by Year 1)</w:t>
      </w:r>
    </w:p>
    <w:p>
      <w:pPr>
        <w:numPr>
          <w:ilvl w:val="0"/>
          <w:numId w:val="1007"/>
        </w:numPr>
        <w:pStyle w:val="Compact"/>
      </w:pPr>
      <w:r>
        <w:rPr>
          <w:bCs/>
          <w:b/>
        </w:rPr>
        <w:t xml:space="preserve">Cultural Alignment Score:</w:t>
      </w:r>
      <w:r>
        <w:t xml:space="preserve"> </w:t>
      </w:r>
      <w:r>
        <w:t xml:space="preserve">Client satisfaction surveys measuring local protocol understanding (Target: 4.7/5)</w:t>
      </w:r>
    </w:p>
    <w:p>
      <w:pPr>
        <w:numPr>
          <w:ilvl w:val="0"/>
          <w:numId w:val="1007"/>
        </w:numPr>
        <w:pStyle w:val="Compact"/>
      </w:pPr>
      <w:r>
        <w:rPr>
          <w:bCs/>
          <w:b/>
        </w:rPr>
        <w:t xml:space="preserve">Vision 2030 Impact:</w:t>
      </w:r>
      <w:r>
        <w:t xml:space="preserve"> </w:t>
      </w:r>
      <w:r>
        <w:t xml:space="preserve">Number of client projects directly contributing to Qatar National Development Strategy goals</w:t>
      </w:r>
    </w:p>
    <w:p>
      <w:pPr>
        <w:pStyle w:val="FirstParagraph"/>
      </w:pPr>
      <w:r>
        <w:t xml:space="preserve">Monthly reviews with Doha-based team will adjust tactics based on market feedback, ensuring our Business Consultant services remain laser-focused on Qatar's evolving economic priorities.</w:t>
      </w:r>
    </w:p>
    <w:bookmarkEnd w:id="31"/>
    <w:bookmarkStart w:id="32" w:name="Xa389bfa0c87318235d8fdb52b84b4fdcad46924"/>
    <w:p>
      <w:pPr>
        <w:pStyle w:val="Heading2"/>
      </w:pPr>
      <w:r>
        <w:t xml:space="preserve">Conclusion: The Strategic Imperative for Qatar Doha</w:t>
      </w:r>
    </w:p>
    <w:p>
      <w:pPr>
        <w:pStyle w:val="FirstParagraph"/>
      </w:pPr>
      <w:r>
        <w:t xml:space="preserve">In a market where generic global consultancy fails to address Qatar's unique regulatory and cultural landscape, our specialized Business Consultant firm represents not just an advisory service but a strategic catalyst for sustainable growth. By embedding ourselves within Doha's business ecosystem through hyper-localized solutions, we will become the trusted partner for organizations navigating Qatar Vision 2030. This Marketing Plan delivers a clear path to capture leadership in Qatar's $185M business consultancy market while delivering measurable economic value to every client – making our firm indispensable to Doha's next phase of prosperity.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Business Consultant Services for Qatar Doha</dc:title>
  <dc:creator/>
  <dc:language>en</dc:language>
  <cp:keywords/>
  <dcterms:created xsi:type="dcterms:W3CDTF">2026-07-23T14:13:02Z</dcterms:created>
  <dcterms:modified xsi:type="dcterms:W3CDTF">2026-07-23T14:13:02Z</dcterms:modified>
</cp:coreProperties>
</file>

<file path=docProps/custom.xml><?xml version="1.0" encoding="utf-8"?>
<Properties xmlns="http://schemas.openxmlformats.org/officeDocument/2006/custom-properties" xmlns:vt="http://schemas.openxmlformats.org/officeDocument/2006/docPropsVTypes"/>
</file>