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a3f4badd850f55f8100094b8fdffcc932755d37"/>
    <w:p>
      <w:pPr>
        <w:pStyle w:val="Heading1"/>
      </w:pPr>
      <w:r>
        <w:t xml:space="preserve">Comprehensive Marketing Plan: Premium Business Consultant Services for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in Riyadh, Saudi Arabia. Aligned with Vision 2030's economic diversification goals, our plan targets SMEs and corporate entities seeking operational excellence, digital transformation, and strategic growth. We project capturing 15% market share in Riyadh's business consultancy sector within three years through hyper-localized services that address Saudi-specific challenges in compliance, cultural adaptation, and regional market entry. This document serves as the definitive roadmap for our Marketing Plan execution across Saudi Arabia Riyadh.</w:t>
      </w:r>
    </w:p>
    <w:bookmarkEnd w:id="20"/>
    <w:bookmarkStart w:id="21" w:name="market-analysis-riyadh-context"/>
    <w:p>
      <w:pPr>
        <w:pStyle w:val="Heading2"/>
      </w:pPr>
      <w:r>
        <w:t xml:space="preserve">Market Analysis: Riyadh Context</w:t>
      </w:r>
    </w:p>
    <w:p>
      <w:pPr>
        <w:pStyle w:val="FirstParagraph"/>
      </w:pPr>
      <w:r>
        <w:t xml:space="preserve">Riyadh's economy is experiencing unprecedented growth with 45% year-on-year expansion in private sector investment (SAMA, 2023). However, 78% of local SMEs face operational inefficiencies due to rapid scaling without strategic guidance (Saudi Ministry of Commerce Report). The market gap for specialized Business Consultant services is acute in sectors like hospitality (driven by Tourism Vision 2030), logistics (leveraging NEOM and Red Sea Project), and fintech. Our Marketing Plan leverages Saudi Arabia Riyadh's unique ecosystem, where government initiatives like the SME Support Program create immediate demand for consultancy services that navigate local regulations and cultural nuances.</w:t>
      </w:r>
    </w:p>
    <w:bookmarkEnd w:id="21"/>
    <w:bookmarkStart w:id="22" w:name="target-audience-segmentation"/>
    <w:p>
      <w:pPr>
        <w:pStyle w:val="Heading2"/>
      </w:pPr>
      <w:r>
        <w:t xml:space="preserve">Target Audience Segmentation</w:t>
      </w:r>
    </w:p>
    <w:p>
      <w:pPr>
        <w:pStyle w:val="FirstParagraph"/>
      </w:pPr>
      <w:r>
        <w:t xml:space="preserve">We've prioritized three high-value segments in Saudi Arabia Riyadh:</w:t>
      </w:r>
    </w:p>
    <w:p>
      <w:pPr>
        <w:numPr>
          <w:ilvl w:val="0"/>
          <w:numId w:val="1001"/>
        </w:numPr>
        <w:pStyle w:val="Compact"/>
      </w:pPr>
      <w:r>
        <w:rPr>
          <w:bCs/>
          <w:b/>
        </w:rPr>
        <w:t xml:space="preserve">Mid-Sized Enterprises (10-50 employees):</w:t>
      </w:r>
      <w:r>
        <w:t xml:space="preserve"> </w:t>
      </w:r>
      <w:r>
        <w:t xml:space="preserve">Seeking operational optimization for Vision 2030 compliance. Example: Manufacturing firms needing supply chain restructuring for local content requirements.</w:t>
      </w:r>
    </w:p>
    <w:p>
      <w:pPr>
        <w:numPr>
          <w:ilvl w:val="0"/>
          <w:numId w:val="1001"/>
        </w:numPr>
        <w:pStyle w:val="Compact"/>
      </w:pPr>
      <w:r>
        <w:rPr>
          <w:bCs/>
          <w:b/>
        </w:rPr>
        <w:t xml:space="preserve">Newly Established Ventures:</w:t>
      </w:r>
      <w:r>
        <w:t xml:space="preserve"> </w:t>
      </w:r>
      <w:r>
        <w:t xml:space="preserve">Foreign-owned startups requiring market entry strategy and Saudi labor law compliance (MOL).</w:t>
      </w:r>
    </w:p>
    <w:p>
      <w:pPr>
        <w:numPr>
          <w:ilvl w:val="0"/>
          <w:numId w:val="1001"/>
        </w:numPr>
        <w:pStyle w:val="Compact"/>
      </w:pPr>
      <w:r>
        <w:rPr>
          <w:bCs/>
          <w:b/>
        </w:rPr>
        <w:t xml:space="preserve">SME Growth Catalysts:</w:t>
      </w:r>
      <w:r>
        <w:t xml:space="preserve"> </w:t>
      </w:r>
      <w:r>
        <w:t xml:space="preserve">Government-backed incubators like Wadi Makkah seeking certified Business Consultant partners for portfolio companies.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signed contracts with Riyadh-based enterprises (40% from government-linked entities)</w:t>
      </w:r>
    </w:p>
    <w:p>
      <w:pPr>
        <w:numPr>
          <w:ilvl w:val="0"/>
          <w:numId w:val="1002"/>
        </w:numPr>
        <w:pStyle w:val="Compact"/>
      </w:pPr>
      <w:r>
        <w:t xml:space="preserve">Achieve 75% brand recognition among business decision-makers in Saudi Arabia Riyadh</w:t>
      </w:r>
    </w:p>
    <w:p>
      <w:pPr>
        <w:numPr>
          <w:ilvl w:val="0"/>
          <w:numId w:val="1002"/>
        </w:numPr>
        <w:pStyle w:val="Compact"/>
      </w:pPr>
      <w:r>
        <w:t xml:space="preserve">Generate SAR 12 million in service revenue through targeted campaigns</w:t>
      </w:r>
    </w:p>
    <w:bookmarkEnd w:id="23"/>
    <w:bookmarkStart w:id="28" w:name="Xa55f81b779b4397d27dd75909162b6ebbb63685"/>
    <w:p>
      <w:pPr>
        <w:pStyle w:val="Heading2"/>
      </w:pPr>
      <w:r>
        <w:t xml:space="preserve">Marketing Strategies: The Riyadh Advantage</w:t>
      </w:r>
    </w:p>
    <w:bookmarkStart w:id="24" w:name="X7f66fa4c6bffca46b892a516c56f1312a3dd3fb"/>
    <w:p>
      <w:pPr>
        <w:pStyle w:val="Heading3"/>
      </w:pPr>
      <w:r>
        <w:t xml:space="preserve">Product Strategy: Culturally Engineered Solutions</w:t>
      </w:r>
    </w:p>
    <w:p>
      <w:pPr>
        <w:pStyle w:val="FirstParagraph"/>
      </w:pPr>
      <w:r>
        <w:t xml:space="preserve">Beyond standard consultancy, we offer Riyadh-specific packages:</w:t>
      </w:r>
    </w:p>
    <w:p>
      <w:pPr>
        <w:numPr>
          <w:ilvl w:val="0"/>
          <w:numId w:val="1003"/>
        </w:numPr>
        <w:pStyle w:val="Compact"/>
      </w:pPr>
      <w:r>
        <w:rPr>
          <w:bCs/>
          <w:b/>
        </w:rPr>
        <w:t xml:space="preserve">Vision 2030 Alignment Framework:</w:t>
      </w:r>
      <w:r>
        <w:t xml:space="preserve"> </w:t>
      </w:r>
      <w:r>
        <w:t xml:space="preserve">Customized roadmaps linking business goals to national initiatives.</w:t>
      </w:r>
    </w:p>
    <w:p>
      <w:pPr>
        <w:numPr>
          <w:ilvl w:val="0"/>
          <w:numId w:val="1003"/>
        </w:numPr>
        <w:pStyle w:val="Compact"/>
      </w:pPr>
      <w:r>
        <w:rPr>
          <w:bCs/>
          <w:b/>
        </w:rPr>
        <w:t xml:space="preserve">Cultural Integration Modules:</w:t>
      </w:r>
      <w:r>
        <w:t xml:space="preserve"> </w:t>
      </w:r>
      <w:r>
        <w:t xml:space="preserve">Training on Saudi business etiquette and decision-making hierarchies.</w:t>
      </w:r>
    </w:p>
    <w:p>
      <w:pPr>
        <w:numPr>
          <w:ilvl w:val="0"/>
          <w:numId w:val="1003"/>
        </w:numPr>
        <w:pStyle w:val="Compact"/>
      </w:pPr>
      <w:r>
        <w:rPr>
          <w:bCs/>
          <w:b/>
        </w:rPr>
        <w:t xml:space="preserve">Saudi Compliance Accelerator:</w:t>
      </w:r>
      <w:r>
        <w:t xml:space="preserve"> </w:t>
      </w:r>
      <w:r>
        <w:t xml:space="preserve">Pre-validated solutions for Ministry of Investment (MISA) and SCA requirements.</w:t>
      </w:r>
    </w:p>
    <w:bookmarkEnd w:id="24"/>
    <w:bookmarkStart w:id="25" w:name="pricing-strategy-value-based-positioning"/>
    <w:p>
      <w:pPr>
        <w:pStyle w:val="Heading3"/>
      </w:pPr>
      <w:r>
        <w:t xml:space="preserve">Pricing Strategy: Value-Based Positioning</w:t>
      </w:r>
    </w:p>
    <w:p>
      <w:pPr>
        <w:pStyle w:val="FirstParagraph"/>
      </w:pPr>
      <w:r>
        <w:t xml:space="preserve">We implement tiered pricing reflecting Riyadh's premium market:</w:t>
      </w:r>
    </w:p>
    <w:p>
      <w:pPr>
        <w:numPr>
          <w:ilvl w:val="0"/>
          <w:numId w:val="1004"/>
        </w:numPr>
        <w:pStyle w:val="Compact"/>
      </w:pPr>
      <w:r>
        <w:rPr>
          <w:bCs/>
          <w:b/>
        </w:rPr>
        <w:t xml:space="preserve">Core Package (SAR 45,000):</w:t>
      </w:r>
      <w:r>
        <w:t xml:space="preserve"> </w:t>
      </w:r>
      <w:r>
        <w:t xml:space="preserve">Operational audit + strategic roadmap (ideal for SMEs)</w:t>
      </w:r>
    </w:p>
    <w:p>
      <w:pPr>
        <w:numPr>
          <w:ilvl w:val="0"/>
          <w:numId w:val="1004"/>
        </w:numPr>
        <w:pStyle w:val="Compact"/>
      </w:pPr>
      <w:r>
        <w:rPr>
          <w:bCs/>
          <w:b/>
        </w:rPr>
        <w:t xml:space="preserve">Premium Suite (SAR 125,000):</w:t>
      </w:r>
      <w:r>
        <w:t xml:space="preserve"> </w:t>
      </w:r>
      <w:r>
        <w:t xml:space="preserve">Full transformation including Vision 2030 integration and cultural training</w:t>
      </w:r>
    </w:p>
    <w:p>
      <w:pPr>
        <w:numPr>
          <w:ilvl w:val="0"/>
          <w:numId w:val="1004"/>
        </w:numPr>
        <w:pStyle w:val="Compact"/>
      </w:pPr>
      <w:r>
        <w:rPr>
          <w:bCs/>
          <w:b/>
        </w:rPr>
        <w:t xml:space="preserve">Enterprise Partnership:</w:t>
      </w:r>
      <w:r>
        <w:t xml:space="preserve"> </w:t>
      </w:r>
      <w:r>
        <w:t xml:space="preserve">Custom retainers with Saudi Arabia Riyadh government entities (minimum SAR 500,000)</w:t>
      </w:r>
    </w:p>
    <w:bookmarkEnd w:id="25"/>
    <w:bookmarkStart w:id="26" w:name="Xf5c165f704534d8008671fc34b77861ed28d4d4"/>
    <w:p>
      <w:pPr>
        <w:pStyle w:val="Heading3"/>
      </w:pPr>
      <w:r>
        <w:t xml:space="preserve">Distribution &amp; Access: Riyadh-Centric Channels</w:t>
      </w:r>
    </w:p>
    <w:p>
      <w:pPr>
        <w:pStyle w:val="FirstParagraph"/>
      </w:pPr>
      <w:r>
        <w:t xml:space="preserve">We optimize service delivery through Riyadh-focused touchpoints:</w:t>
      </w:r>
    </w:p>
    <w:p>
      <w:pPr>
        <w:numPr>
          <w:ilvl w:val="0"/>
          <w:numId w:val="1005"/>
        </w:numPr>
        <w:pStyle w:val="Compact"/>
      </w:pPr>
      <w:r>
        <w:rPr>
          <w:bCs/>
          <w:b/>
        </w:rPr>
        <w:t xml:space="preserve">Physical Presence:</w:t>
      </w:r>
      <w:r>
        <w:t xml:space="preserve"> </w:t>
      </w:r>
      <w:r>
        <w:t xml:space="preserve">Flagship office in Diplomatic Quarter (DQ) for high-level meetings</w:t>
      </w:r>
    </w:p>
    <w:p>
      <w:pPr>
        <w:numPr>
          <w:ilvl w:val="0"/>
          <w:numId w:val="1005"/>
        </w:numPr>
        <w:pStyle w:val="Compact"/>
      </w:pPr>
      <w:r>
        <w:rPr>
          <w:bCs/>
          <w:b/>
        </w:rPr>
        <w:t xml:space="preserve">Digital Platform:</w:t>
      </w:r>
      <w:r>
        <w:t xml:space="preserve"> </w:t>
      </w:r>
      <w:r>
        <w:t xml:space="preserve">Arabic/English portal with Saudi-specific compliance checklists</w:t>
      </w:r>
    </w:p>
    <w:p>
      <w:pPr>
        <w:numPr>
          <w:ilvl w:val="0"/>
          <w:numId w:val="1005"/>
        </w:numPr>
        <w:pStyle w:val="Compact"/>
      </w:pPr>
      <w:r>
        <w:rPr>
          <w:bCs/>
          <w:b/>
        </w:rPr>
        <w:t xml:space="preserve">Strategic Alliances:</w:t>
      </w:r>
      <w:r>
        <w:t xml:space="preserve"> </w:t>
      </w:r>
      <w:r>
        <w:t xml:space="preserve">Co-branded programs with Riyadh Chamber of Commerce and Arriyadiya Investment</w:t>
      </w:r>
    </w:p>
    <w:bookmarkEnd w:id="26"/>
    <w:bookmarkStart w:id="27" w:name="X5cd68753a7a5ab14caae56c422394601bac78df"/>
    <w:p>
      <w:pPr>
        <w:pStyle w:val="Heading3"/>
      </w:pPr>
      <w:r>
        <w:t xml:space="preserve">Promotion Strategy: Hyper-Local Engagement</w:t>
      </w:r>
    </w:p>
    <w:p>
      <w:pPr>
        <w:pStyle w:val="FirstParagraph"/>
      </w:pPr>
      <w:r>
        <w:t xml:space="preserve">Campaigns will leverage Saudi Arabia Riyadh's cultural landscape:</w:t>
      </w:r>
    </w:p>
    <w:p>
      <w:pPr>
        <w:numPr>
          <w:ilvl w:val="0"/>
          <w:numId w:val="1006"/>
        </w:numPr>
        <w:pStyle w:val="Compact"/>
      </w:pPr>
      <w:r>
        <w:rPr>
          <w:bCs/>
          <w:b/>
        </w:rPr>
        <w:t xml:space="preserve">Vision 2030 Summit Series:</w:t>
      </w:r>
      <w:r>
        <w:t xml:space="preserve"> </w:t>
      </w:r>
      <w:r>
        <w:t xml:space="preserve">Host quarterly workshops at Riyadh Front with government speakers (e.g., MISA officials)</w:t>
      </w:r>
    </w:p>
    <w:p>
      <w:pPr>
        <w:numPr>
          <w:ilvl w:val="0"/>
          <w:numId w:val="1006"/>
        </w:numPr>
        <w:pStyle w:val="Compact"/>
      </w:pPr>
      <w:r>
        <w:rPr>
          <w:bCs/>
          <w:b/>
        </w:rPr>
        <w:t xml:space="preserve">Local Influencer Partnerships:</w:t>
      </w:r>
      <w:r>
        <w:t xml:space="preserve"> </w:t>
      </w:r>
      <w:r>
        <w:t xml:space="preserve">Collaborate with Saudi business leaders like Dr. Khalid Al-Mansour on LinkedIn for case studies</w:t>
      </w:r>
    </w:p>
    <w:p>
      <w:pPr>
        <w:numPr>
          <w:ilvl w:val="0"/>
          <w:numId w:val="1006"/>
        </w:numPr>
        <w:pStyle w:val="Compact"/>
      </w:pPr>
      <w:r>
        <w:rPr>
          <w:bCs/>
          <w:b/>
        </w:rPr>
        <w:t xml:space="preserve">Tax-Exempt Lead Generation:</w:t>
      </w:r>
      <w:r>
        <w:t xml:space="preserve"> </w:t>
      </w:r>
      <w:r>
        <w:t xml:space="preserve">Partner with Riyadh-based tax advisors for exclusive referral programs</w:t>
      </w:r>
    </w:p>
    <w:p>
      <w:pPr>
        <w:numPr>
          <w:ilvl w:val="0"/>
          <w:numId w:val="1006"/>
        </w:numPr>
        <w:pStyle w:val="Compact"/>
      </w:pPr>
      <w:r>
        <w:rPr>
          <w:bCs/>
          <w:b/>
        </w:rPr>
        <w:t xml:space="preserve">Cultural Marketing Tactics:</w:t>
      </w:r>
      <w:r>
        <w:t xml:space="preserve"> </w:t>
      </w:r>
      <w:r>
        <w:t xml:space="preserve">Ramadan campaign featuring "Business Growth in Eid" digital content highlighting success stories from Riyadh businesses</w:t>
      </w:r>
    </w:p>
    <w:bookmarkEnd w:id="27"/>
    <w:bookmarkEnd w:id="28"/>
    <w:bookmarkStart w:id="29" w:name="Xb5cfdce6253cd084b8b3201b25ddb50aeaa8f42"/>
    <w:p>
      <w:pPr>
        <w:pStyle w:val="Heading2"/>
      </w:pPr>
      <w:r>
        <w:t xml:space="preserve">Implementation Timeline: Riyadh-First Approach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Riyadh Market Immersion</w:t>
            </w:r>
          </w:p>
        </w:tc>
        <w:tc>
          <w:tcPr/>
          <w:p>
            <w:pPr>
              <w:pStyle w:val="Compact"/>
              <w:jc w:val="left"/>
            </w:pPr>
            <w:r>
              <w:t xml:space="preserve">Complete cultural training; register with Riyadh Chamber of Commerce</w:t>
            </w:r>
          </w:p>
        </w:tc>
        <w:tc>
          <w:tcPr/>
          <w:p>
            <w:pPr>
              <w:pStyle w:val="Compact"/>
              <w:jc w:val="left"/>
            </w:pPr>
            <w:r>
              <w:t xml:space="preserve">Secure 3 government partnership MOUs</w:t>
            </w:r>
          </w:p>
        </w:tc>
        <w:tc>
          <w:tcPr/>
          <w:p>
            <w:pPr>
              <w:pStyle w:val="Compact"/>
              <w:jc w:val="left"/>
            </w:pPr>
            <w:r>
              <w:t xml:space="preserve">Leverage partnerships for pilot programs in logistics sector</w:t>
            </w:r>
          </w:p>
        </w:tc>
      </w:tr>
      <w:tr>
        <w:tc>
          <w:tcPr/>
          <w:p>
            <w:pPr>
              <w:pStyle w:val="Compact"/>
              <w:jc w:val="left"/>
            </w:pPr>
            <w:r>
              <w:rPr>
                <w:bCs/>
                <w:b/>
              </w:rPr>
              <w:t xml:space="preserve">Brand Activation</w:t>
            </w:r>
          </w:p>
        </w:tc>
        <w:tc>
          <w:tcPr/>
          <w:p>
            <w:pPr>
              <w:pStyle w:val="Compact"/>
              <w:jc w:val="left"/>
            </w:pPr>
            <w:r>
              <w:t xml:space="preserve">Launch DQ office; begin Vision 2030 Summit Series</w:t>
            </w:r>
          </w:p>
        </w:tc>
        <w:tc>
          <w:tcPr/>
          <w:p>
            <w:pPr>
              <w:pStyle w:val="Compact"/>
              <w:jc w:val="left"/>
            </w:pPr>
            <w:r>
              <w:t xml:space="preserve">Execute Ramadan marketing campaign; publish Riyadh case studies</w:t>
            </w:r>
          </w:p>
        </w:tc>
        <w:tc>
          <w:tcPr/>
          <w:p>
            <w:pPr>
              <w:pStyle w:val="Compact"/>
              <w:jc w:val="left"/>
            </w:pPr>
            <w:r>
              <w:t xml:space="preserve">Pilot Premium Suite with 5 target enterprises</w:t>
            </w:r>
          </w:p>
        </w:tc>
      </w:tr>
    </w:tbl>
    <w:bookmarkEnd w:id="29"/>
    <w:bookmarkStart w:id="30" w:name="Xab859a9eecde33ae7f57cf6ab569cbc2bdf9ff3"/>
    <w:p>
      <w:pPr>
        <w:pStyle w:val="Heading2"/>
      </w:pPr>
      <w:r>
        <w:t xml:space="preserve">Budget Allocation: Saudi Arabia Riyadh Focus</w:t>
      </w:r>
    </w:p>
    <w:p>
      <w:pPr>
        <w:pStyle w:val="FirstParagraph"/>
      </w:pPr>
      <w:r>
        <w:t xml:space="preserve">Initial investment of SAR 1.8 million allocated specifically for Riyadh operations:</w:t>
      </w:r>
    </w:p>
    <w:p>
      <w:pPr>
        <w:numPr>
          <w:ilvl w:val="0"/>
          <w:numId w:val="1007"/>
        </w:numPr>
        <w:pStyle w:val="Compact"/>
      </w:pPr>
      <w:r>
        <w:rPr>
          <w:bCs/>
          <w:b/>
        </w:rPr>
        <w:t xml:space="preserve">Market Research &amp; Localization (30%):</w:t>
      </w:r>
      <w:r>
        <w:t xml:space="preserve"> </w:t>
      </w:r>
      <w:r>
        <w:t xml:space="preserve">SAR 540,000 for Saudi-specific cultural analysis and regulatory mapping</w:t>
      </w:r>
    </w:p>
    <w:p>
      <w:pPr>
        <w:numPr>
          <w:ilvl w:val="0"/>
          <w:numId w:val="1007"/>
        </w:numPr>
        <w:pStyle w:val="Compact"/>
      </w:pPr>
      <w:r>
        <w:rPr>
          <w:bCs/>
          <w:b/>
        </w:rPr>
        <w:t xml:space="preserve">Riyadh Presence (25%):</w:t>
      </w:r>
      <w:r>
        <w:t xml:space="preserve"> </w:t>
      </w:r>
      <w:r>
        <w:t xml:space="preserve">SAR 450,000 for DQ office setup and local team hiring</w:t>
      </w:r>
    </w:p>
    <w:p>
      <w:pPr>
        <w:numPr>
          <w:ilvl w:val="0"/>
          <w:numId w:val="1007"/>
        </w:numPr>
        <w:pStyle w:val="Compact"/>
      </w:pPr>
      <w:r>
        <w:rPr>
          <w:bCs/>
          <w:b/>
        </w:rPr>
        <w:t xml:space="preserve">Promotional Campaigns (35%):</w:t>
      </w:r>
      <w:r>
        <w:t xml:space="preserve"> </w:t>
      </w:r>
      <w:r>
        <w:t xml:space="preserve">SAR 630,000 for summit events, digital ads targeting Riyadh IPs, and influencer collaborations</w:t>
      </w:r>
    </w:p>
    <w:p>
      <w:pPr>
        <w:numPr>
          <w:ilvl w:val="0"/>
          <w:numId w:val="1007"/>
        </w:numPr>
        <w:pStyle w:val="Compact"/>
      </w:pPr>
      <w:r>
        <w:rPr>
          <w:bCs/>
          <w:b/>
        </w:rPr>
        <w:t xml:space="preserve">Partnership Development (10%):</w:t>
      </w:r>
      <w:r>
        <w:t xml:space="preserve"> </w:t>
      </w:r>
      <w:r>
        <w:t xml:space="preserve">SAR 180,000 for government entity relationship building</w:t>
      </w:r>
    </w:p>
    <w:bookmarkEnd w:id="30"/>
    <w:bookmarkStart w:id="31" w:name="Xcc81554761a27bc107024cb83574607af71f929"/>
    <w:p>
      <w:pPr>
        <w:pStyle w:val="Heading2"/>
      </w:pPr>
      <w:r>
        <w:t xml:space="preserve">Measurement Framework: Success in Saudi Arabia Riyadh Context</w:t>
      </w:r>
    </w:p>
    <w:p>
      <w:pPr>
        <w:pStyle w:val="FirstParagraph"/>
      </w:pPr>
      <w:r>
        <w:t xml:space="preserve">We track KPIs directly tied to Riyadh's business environment:</w:t>
      </w:r>
    </w:p>
    <w:p>
      <w:pPr>
        <w:numPr>
          <w:ilvl w:val="0"/>
          <w:numId w:val="1008"/>
        </w:numPr>
        <w:pStyle w:val="Compact"/>
      </w:pPr>
      <w:r>
        <w:rPr>
          <w:bCs/>
          <w:b/>
        </w:rPr>
        <w:t xml:space="preserve">Local Market Penetration Rate:</w:t>
      </w:r>
      <w:r>
        <w:t xml:space="preserve"> </w:t>
      </w:r>
      <w:r>
        <w:t xml:space="preserve">Percentage of contracts from Riyadh-based businesses (Target: 90% by Month 12)</w:t>
      </w:r>
    </w:p>
    <w:p>
      <w:pPr>
        <w:numPr>
          <w:ilvl w:val="0"/>
          <w:numId w:val="1008"/>
        </w:numPr>
        <w:pStyle w:val="Compact"/>
      </w:pPr>
      <w:r>
        <w:rPr>
          <w:bCs/>
          <w:b/>
        </w:rPr>
        <w:t xml:space="preserve">Vision 2030 Alignment Score:</w:t>
      </w:r>
      <w:r>
        <w:t xml:space="preserve"> </w:t>
      </w:r>
      <w:r>
        <w:t xml:space="preserve">Client satisfaction metric on solution relevance to national initiatives</w:t>
      </w:r>
    </w:p>
    <w:p>
      <w:pPr>
        <w:numPr>
          <w:ilvl w:val="0"/>
          <w:numId w:val="1008"/>
        </w:numPr>
        <w:pStyle w:val="Compact"/>
      </w:pPr>
      <w:r>
        <w:rPr>
          <w:bCs/>
          <w:b/>
        </w:rPr>
        <w:t xml:space="preserve">Cultural Adaptation Index:</w:t>
      </w:r>
      <w:r>
        <w:t xml:space="preserve"> </w:t>
      </w:r>
      <w:r>
        <w:t xml:space="preserve">Post-engagement survey measuring understanding of Saudi business practices (Target: 4.5/5 average)</w:t>
      </w:r>
    </w:p>
    <w:bookmarkEnd w:id="31"/>
    <w:bookmarkStart w:id="32" w:name="conclusion-the-riyadh-imperative"/>
    <w:p>
      <w:pPr>
        <w:pStyle w:val="Heading2"/>
      </w:pPr>
      <w:r>
        <w:t xml:space="preserve">Conclusion: The Riyadh Imperative</w:t>
      </w:r>
    </w:p>
    <w:p>
      <w:pPr>
        <w:pStyle w:val="FirstParagraph"/>
      </w:pPr>
      <w:r>
        <w:t xml:space="preserve">This Marketing Plan is not merely a document—it's the operational blueprint for transforming our Business Consultant services into Riyadh's preferred strategic partner. By embedding Saudi Arabia Riyadh's economic vision, regulatory landscape, and cultural context into every service layer, we create unmatched value for clients navigating the Kingdom's dynamic business environment. The success of this plan directly supports Vision 2030 by accelerating business excellence within the capital city where 68% of national commercial activity occurs (SAMA). As Riyadh emerges as a global business hub, our Marketing Plan positions us to be the indispensable Business Consultant for enterprises seeking sustainable growth within Saudi Arabia's most pivotal market.</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Riyadh, Saudi Arabia</dc:title>
  <dc:creator/>
  <dc:language>en</dc:language>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