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d8da1654dc4547ca265591d11e93aab9be4136e"/>
    <w:p>
      <w:pPr>
        <w:pStyle w:val="Heading1"/>
      </w:pPr>
      <w:r>
        <w:t xml:space="preserve">Comprehensive Marketing Plan for Elite Business Consultant Services in Abu Dhabi, United Arab Emirates</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premium business consulting services within the dynamic market of Abu Dhabi, United Arab Emirates. As a leading Business Consultant specializing in the UAE landscape, our firm leverages deep local expertise to deliver transformational results for multinational corporations, government entities, and emerging enterprises operating across Abu Dhabi’s key sectors. The plan capitalizes on the United Arab Emirates’ strategic economic diversification initiatives under Vision 2030 and Abu Dhabi Economic Vision 2030, positioning our Business Consultant services as indispensable for navigating complex regulatory environments, optimizing operations in a post-pandemic economy, and achieving sustainable growth within the Abu Dhabi business ecosystem.</w:t>
      </w:r>
    </w:p>
    <w:bookmarkEnd w:id="20"/>
    <w:bookmarkStart w:id="21" w:name="market-analysis-abu-dhabi-context"/>
    <w:p>
      <w:pPr>
        <w:pStyle w:val="Heading2"/>
      </w:pPr>
      <w:r>
        <w:t xml:space="preserve">Market Analysis: Abu Dhabi Context</w:t>
      </w:r>
    </w:p>
    <w:p>
      <w:pPr>
        <w:pStyle w:val="FirstParagraph"/>
      </w:pPr>
      <w:r>
        <w:t xml:space="preserve">The United Arab Emirates Abu Dhabi market presents exceptional opportunities driven by robust economic diversification. As the UAE's capital city, Abu Dhabi is prioritizing non-oil sectors including tourism, renewable energy (e.g., Masdar City), fintech (ADGM), healthcare, and advanced manufacturing. A 2023 Ministry of Economy report indicates a 15% year-on-year increase in foreign direct investment into Abu Dhabi's non-oil sectors. However, businesses face significant challenges: complex regulatory compliance, cultural adaptation for expatriate-led enterprises, and the need for localized strategic frameworks that align with UAE national priorities. Current market research reveals a gap in Business Consultant firms offering hyper-localized expertise combined with global best practices specifically tailored to Abu Dhabi’s unique business culture and regulatory framework.</w:t>
      </w:r>
    </w:p>
    <w:bookmarkEnd w:id="21"/>
    <w:bookmarkStart w:id="22" w:name="target-audience"/>
    <w:p>
      <w:pPr>
        <w:pStyle w:val="Heading2"/>
      </w:pPr>
      <w:r>
        <w:t xml:space="preserve">Target Audience</w:t>
      </w:r>
    </w:p>
    <w:p>
      <w:pPr>
        <w:numPr>
          <w:ilvl w:val="0"/>
          <w:numId w:val="1001"/>
        </w:numPr>
        <w:pStyle w:val="Compact"/>
      </w:pPr>
      <w:r>
        <w:rPr>
          <w:bCs/>
          <w:b/>
        </w:rPr>
        <w:t xml:space="preserve">Government Entities &amp; Semi-Governmental Organizations:</w:t>
      </w:r>
      <w:r>
        <w:t xml:space="preserve"> </w:t>
      </w:r>
      <w:r>
        <w:t xml:space="preserve">Abu Dhabi Investment Authority (ADIA), Mubadala Development Company, and UAE Federal Government entities seeking strategic transformation.</w:t>
      </w:r>
    </w:p>
    <w:p>
      <w:pPr>
        <w:numPr>
          <w:ilvl w:val="0"/>
          <w:numId w:val="1001"/>
        </w:numPr>
        <w:pStyle w:val="Compact"/>
      </w:pPr>
      <w:r>
        <w:rPr>
          <w:bCs/>
          <w:b/>
        </w:rPr>
        <w:t xml:space="preserve">Multinational Corporations (MNCs) Expanding into Abu Dhabi:</w:t>
      </w:r>
      <w:r>
        <w:t xml:space="preserve"> </w:t>
      </w:r>
      <w:r>
        <w:t xml:space="preserve">Firms needing guidance on market entry, regulatory navigation within Abu Dhabi’s free zones (e.g., ADGM, TECOM), and cultural integration.</w:t>
      </w:r>
    </w:p>
    <w:p>
      <w:pPr>
        <w:numPr>
          <w:ilvl w:val="0"/>
          <w:numId w:val="1001"/>
        </w:numPr>
        <w:pStyle w:val="Compact"/>
      </w:pPr>
      <w:r>
        <w:rPr>
          <w:bCs/>
          <w:b/>
        </w:rPr>
        <w:t xml:space="preserve">Local SMEs &amp; Family Businesses:</w:t>
      </w:r>
      <w:r>
        <w:t xml:space="preserve"> </w:t>
      </w:r>
      <w:r>
        <w:t xml:space="preserve">Enterprises aiming to scale operations, modernize structures, or prepare for potential listing under Abu Dhabi Securities Exchange (ADSE).</w:t>
      </w:r>
    </w:p>
    <w:p>
      <w:pPr>
        <w:numPr>
          <w:ilvl w:val="0"/>
          <w:numId w:val="1001"/>
        </w:numPr>
        <w:pStyle w:val="Compact"/>
      </w:pPr>
      <w:r>
        <w:rPr>
          <w:bCs/>
          <w:b/>
        </w:rPr>
        <w:t xml:space="preserve">Startups in Abu Dhabi Innovation Hubs:</w:t>
      </w:r>
      <w:r>
        <w:t xml:space="preserve"> </w:t>
      </w:r>
      <w:r>
        <w:t xml:space="preserve">Tech and sustainability startups requiring strategic growth frameworks aligned with Abu Dhabi’s innovation strategy.</w:t>
      </w:r>
    </w:p>
    <w:bookmarkEnd w:id="22"/>
    <w:bookmarkStart w:id="23" w:name="X4dc1b23890cfd123a262e4158a583620d12f293"/>
    <w:p>
      <w:pPr>
        <w:pStyle w:val="Heading2"/>
      </w:pPr>
      <w:r>
        <w:t xml:space="preserve">Core Value Proposition: The Abu Dhabi Advantage</w:t>
      </w:r>
    </w:p>
    <w:p>
      <w:pPr>
        <w:pStyle w:val="FirstParagraph"/>
      </w:pPr>
      <w:r>
        <w:t xml:space="preserve">Our Business Consultant services deliver unparalleled value through three pillars unique to the United Arab Emirates Abu Dhabi context:</w:t>
      </w:r>
    </w:p>
    <w:p>
      <w:pPr>
        <w:numPr>
          <w:ilvl w:val="0"/>
          <w:numId w:val="1002"/>
        </w:numPr>
        <w:pStyle w:val="Compact"/>
      </w:pPr>
      <w:r>
        <w:rPr>
          <w:bCs/>
          <w:b/>
        </w:rPr>
        <w:t xml:space="preserve">Regulatory Mastery:</w:t>
      </w:r>
      <w:r>
        <w:t xml:space="preserve"> </w:t>
      </w:r>
      <w:r>
        <w:t xml:space="preserve">Deep expertise in Abu Dhabi’s evolving legal landscape, including DIFC/ADGM regulations, UAE labor law (Federal Law No. 12 of 2021), tax frameworks (including Corporate Tax implementation), and sector-specific licensing.</w:t>
      </w:r>
    </w:p>
    <w:p>
      <w:pPr>
        <w:numPr>
          <w:ilvl w:val="0"/>
          <w:numId w:val="1002"/>
        </w:numPr>
        <w:pStyle w:val="Compact"/>
      </w:pPr>
      <w:r>
        <w:rPr>
          <w:bCs/>
          <w:b/>
        </w:rPr>
        <w:t xml:space="preserve">Cultural Intelligence:</w:t>
      </w:r>
      <w:r>
        <w:t xml:space="preserve"> </w:t>
      </w:r>
      <w:r>
        <w:t xml:space="preserve">Seamless navigation of UAE business etiquette, Emirati stakeholder engagement protocols, and cross-cultural team leadership essential for success in Abu Dhabi.</w:t>
      </w:r>
    </w:p>
    <w:p>
      <w:pPr>
        <w:numPr>
          <w:ilvl w:val="0"/>
          <w:numId w:val="1002"/>
        </w:numPr>
        <w:pStyle w:val="Compact"/>
      </w:pPr>
      <w:r>
        <w:rPr>
          <w:bCs/>
          <w:b/>
        </w:rPr>
        <w:t xml:space="preserve">Strategic Alignment:</w:t>
      </w:r>
      <w:r>
        <w:t xml:space="preserve"> </w:t>
      </w:r>
      <w:r>
        <w:t xml:space="preserve">All recommendations directly support Abu Dhabi Economic Vision 2030 and UAE National Strategy for Sustainable Development (2017-2030), ensuring solutions contribute to local economic goals.</w:t>
      </w:r>
    </w:p>
    <w:bookmarkEnd w:id="23"/>
    <w:bookmarkStart w:id="24" w:name="service-offerings-tailored-for-abu-dhabi"/>
    <w:p>
      <w:pPr>
        <w:pStyle w:val="Heading2"/>
      </w:pPr>
      <w:r>
        <w:t xml:space="preserve">Service Offerings Tailored for Abu Dhabi</w:t>
      </w:r>
    </w:p>
    <w:p>
      <w:pPr>
        <w:pStyle w:val="FirstParagraph"/>
      </w:pPr>
      <w:r>
        <w:t xml:space="preserve">Beyond standard business consulting, our offerings are meticulously designed for the Abu Dhabi market:</w:t>
      </w:r>
    </w:p>
    <w:p>
      <w:pPr>
        <w:numPr>
          <w:ilvl w:val="0"/>
          <w:numId w:val="1003"/>
        </w:numPr>
        <w:pStyle w:val="Compact"/>
      </w:pPr>
      <w:r>
        <w:rPr>
          <w:bCs/>
          <w:b/>
        </w:rPr>
        <w:t xml:space="preserve">Abu Dhabi Market Entry Strategy:</w:t>
      </w:r>
      <w:r>
        <w:t xml:space="preserve"> </w:t>
      </w:r>
      <w:r>
        <w:t xml:space="preserve">End-to-end guidance for MNCs entering the capital, including free zone selection (ADGM vs. TAQADAM), local partnership structuring, and regulatory compliance mapping.</w:t>
      </w:r>
    </w:p>
    <w:p>
      <w:pPr>
        <w:numPr>
          <w:ilvl w:val="0"/>
          <w:numId w:val="1003"/>
        </w:numPr>
        <w:pStyle w:val="Compact"/>
      </w:pPr>
      <w:r>
        <w:rPr>
          <w:bCs/>
          <w:b/>
        </w:rPr>
        <w:t xml:space="preserve">SME Transformation &amp; Scaling Program:</w:t>
      </w:r>
      <w:r>
        <w:t xml:space="preserve"> </w:t>
      </w:r>
      <w:r>
        <w:t xml:space="preserve">Customized frameworks for Emirati-owned businesses to enhance operational efficiency, adopt digital tools compliant with UAE data laws (e.g., UAE Data Law), and secure funding from Abu Dhabi-based investment funds.</w:t>
      </w:r>
    </w:p>
    <w:p>
      <w:pPr>
        <w:numPr>
          <w:ilvl w:val="0"/>
          <w:numId w:val="1003"/>
        </w:numPr>
        <w:pStyle w:val="Compact"/>
      </w:pPr>
      <w:r>
        <w:rPr>
          <w:bCs/>
          <w:b/>
        </w:rPr>
        <w:t xml:space="preserve">Diversity &amp; Inclusion (D&amp;I) Strategy for Abu Dhabi:</w:t>
      </w:r>
      <w:r>
        <w:t xml:space="preserve"> </w:t>
      </w:r>
      <w:r>
        <w:t xml:space="preserve">Solutions addressing UAE National D&amp;I policies and building culturally intelligent workplace environments compliant with Emirati labor norms.</w:t>
      </w:r>
    </w:p>
    <w:bookmarkEnd w:id="24"/>
    <w:bookmarkStart w:id="25" w:name="marketing-sales-strategy"/>
    <w:p>
      <w:pPr>
        <w:pStyle w:val="Heading2"/>
      </w:pPr>
      <w:r>
        <w:t xml:space="preserve">Marketing &amp; Sales Strategy</w:t>
      </w:r>
    </w:p>
    <w:p>
      <w:pPr>
        <w:pStyle w:val="FirstParagraph"/>
      </w:pPr>
      <w:r>
        <w:t xml:space="preserve">Our go-to-market approach leverages high-impact channels resonating within the Abu Dhabi business community:</w:t>
      </w:r>
    </w:p>
    <w:p>
      <w:pPr>
        <w:numPr>
          <w:ilvl w:val="0"/>
          <w:numId w:val="1004"/>
        </w:numPr>
        <w:pStyle w:val="Compact"/>
      </w:pPr>
      <w:r>
        <w:rPr>
          <w:bCs/>
          <w:b/>
        </w:rPr>
        <w:t xml:space="preserve">Strategic Partnerships:</w:t>
      </w:r>
      <w:r>
        <w:t xml:space="preserve"> </w:t>
      </w:r>
      <w:r>
        <w:t xml:space="preserve">Forge alliances with key Abu Dhabi institutions: Abu Dhabi Chamber of Commerce (ADCC), Tawazun Economic Council, and ADGM to co-host roundtables on "Navigating UAE's Economic Diversification."</w:t>
      </w:r>
    </w:p>
    <w:p>
      <w:pPr>
        <w:numPr>
          <w:ilvl w:val="0"/>
          <w:numId w:val="1004"/>
        </w:numPr>
        <w:pStyle w:val="Compact"/>
      </w:pPr>
      <w:r>
        <w:rPr>
          <w:bCs/>
          <w:b/>
        </w:rPr>
        <w:t xml:space="preserve">Content Marketing with Local Focus:</w:t>
      </w:r>
      <w:r>
        <w:t xml:space="preserve"> </w:t>
      </w:r>
      <w:r>
        <w:t xml:space="preserve">Publish data-driven whitepapers in Arabic and English on Abu Dhabi-specific topics (e.g., "2024 Guide to Corporate Tax Compliance in Abu Dhabi Free Zones," "Optimizing Tourism Investment Returns Post-Gulf Cooperation Council Summit"). Leverage LinkedIn for targeted outreach to C-suite executives in Abu Dhabi.</w:t>
      </w:r>
    </w:p>
    <w:p>
      <w:pPr>
        <w:numPr>
          <w:ilvl w:val="0"/>
          <w:numId w:val="1004"/>
        </w:numPr>
        <w:pStyle w:val="Compact"/>
      </w:pPr>
      <w:r>
        <w:rPr>
          <w:bCs/>
          <w:b/>
        </w:rPr>
        <w:t xml:space="preserve">High-Value Networking:</w:t>
      </w:r>
      <w:r>
        <w:t xml:space="preserve"> </w:t>
      </w:r>
      <w:r>
        <w:t xml:space="preserve">Sponsor and speak at premier Abu Dhabi events: Middle East Economic Forum (Abu Dhabi), ADIPEC, and the Abu Dhabi International Book Fair – emphasizing our Business Consultant expertise within the United Arab Emirates context.</w:t>
      </w:r>
    </w:p>
    <w:p>
      <w:pPr>
        <w:numPr>
          <w:ilvl w:val="0"/>
          <w:numId w:val="1004"/>
        </w:numPr>
        <w:pStyle w:val="Compact"/>
      </w:pPr>
      <w:r>
        <w:rPr>
          <w:bCs/>
          <w:b/>
        </w:rPr>
        <w:t xml:space="preserve">Digital Campaigns with Cultural Sensitivity:</w:t>
      </w:r>
      <w:r>
        <w:t xml:space="preserve"> </w:t>
      </w:r>
      <w:r>
        <w:t xml:space="preserve">Targeted Google Ads using UAE Arabic keywords. Social media content (Instagram, WhatsApp Business) featuring case studies of Abu Dhabi-based clients, respecting cultural norms and avoiding Western-centric visuals.</w:t>
      </w:r>
    </w:p>
    <w:bookmarkEnd w:id="25"/>
    <w:bookmarkStart w:id="26" w:name="brand-positioning"/>
    <w:p>
      <w:pPr>
        <w:pStyle w:val="Heading2"/>
      </w:pPr>
      <w:r>
        <w:t xml:space="preserve">Brand Positioning</w:t>
      </w:r>
    </w:p>
    <w:p>
      <w:pPr>
        <w:pStyle w:val="FirstParagraph"/>
      </w:pPr>
      <w:r>
        <w:t xml:space="preserve">We position our firm as "The Trusted Business Consultant Partner for Sustainable Growth in Abu Dhabi." This message emphasizes reliability, deep local knowledge, and alignment with Abu Dhabi’s economic vision. Our brand identity – incorporating subtle gold accents (symbolizing UAE prestige) and clean modern design – reflects professionalism while resonating with the Emirati business aesthetic. All marketing materials will be bilingual (Arabic/English) as a standard practice to demonstrate respect for the United Arab Emirates’ cultural context.</w:t>
      </w:r>
    </w:p>
    <w:bookmarkEnd w:id="26"/>
    <w:bookmarkStart w:id="27" w:name="measurement-kpis"/>
    <w:p>
      <w:pPr>
        <w:pStyle w:val="Heading2"/>
      </w:pPr>
      <w:r>
        <w:t xml:space="preserve">Measurement &amp; KPIs</w:t>
      </w:r>
    </w:p>
    <w:p>
      <w:pPr>
        <w:pStyle w:val="FirstParagraph"/>
      </w:pPr>
      <w:r>
        <w:t xml:space="preserve">Success is measured by metrics relevant to Abu Dhabi’s market:</w:t>
      </w:r>
    </w:p>
    <w:p>
      <w:pPr>
        <w:numPr>
          <w:ilvl w:val="0"/>
          <w:numId w:val="1005"/>
        </w:numPr>
        <w:pStyle w:val="Compact"/>
      </w:pPr>
      <w:r>
        <w:rPr>
          <w:bCs/>
          <w:b/>
        </w:rPr>
        <w:t xml:space="preserve">Client Acquisition Cost (CAC):</w:t>
      </w:r>
      <w:r>
        <w:t xml:space="preserve"> </w:t>
      </w:r>
      <w:r>
        <w:t xml:space="preserve">Target: Below AED 15,000 per qualified lead within Abu Dhabi.</w:t>
      </w:r>
    </w:p>
    <w:p>
      <w:pPr>
        <w:numPr>
          <w:ilvl w:val="0"/>
          <w:numId w:val="1005"/>
        </w:numPr>
        <w:pStyle w:val="Compact"/>
      </w:pPr>
      <w:r>
        <w:rPr>
          <w:bCs/>
          <w:b/>
        </w:rPr>
        <w:t xml:space="preserve">Market Share in Key Sectors:</w:t>
      </w:r>
      <w:r>
        <w:t xml:space="preserve"> </w:t>
      </w:r>
      <w:r>
        <w:t xml:space="preserve">Achieve 25% share of new consulting contracts in Abu Dhabi's non-oil SME sector within Year 2.</w:t>
      </w:r>
    </w:p>
    <w:p>
      <w:pPr>
        <w:numPr>
          <w:ilvl w:val="0"/>
          <w:numId w:val="1005"/>
        </w:numPr>
        <w:pStyle w:val="Compact"/>
      </w:pPr>
      <w:r>
        <w:rPr>
          <w:bCs/>
          <w:b/>
        </w:rPr>
        <w:t xml:space="preserve">Client Retention Rate:</w:t>
      </w:r>
      <w:r>
        <w:t xml:space="preserve"> </w:t>
      </w:r>
      <w:r>
        <w:t xml:space="preserve">Target: 85%+ for Abu Dhabi-based clients post-first engagement.</w:t>
      </w:r>
    </w:p>
    <w:p>
      <w:pPr>
        <w:numPr>
          <w:ilvl w:val="0"/>
          <w:numId w:val="1005"/>
        </w:numPr>
        <w:pStyle w:val="Compact"/>
      </w:pPr>
      <w:r>
        <w:rPr>
          <w:bCs/>
          <w:b/>
        </w:rPr>
        <w:t xml:space="preserve">Strategic Partnership Growth:</w:t>
      </w:r>
      <w:r>
        <w:t xml:space="preserve"> </w:t>
      </w:r>
      <w:r>
        <w:t xml:space="preserve">Establish 10+ formal partnerships with Abu Dhabi institutions by end of Year 1.</w:t>
      </w:r>
    </w:p>
    <w:bookmarkEnd w:id="27"/>
    <w:bookmarkStart w:id="28" w:name="conclusion-the-strategic-imperative"/>
    <w:p>
      <w:pPr>
        <w:pStyle w:val="Heading2"/>
      </w:pPr>
      <w:r>
        <w:t xml:space="preserve">Conclusion: The Strategic Imperative</w:t>
      </w:r>
    </w:p>
    <w:p>
      <w:pPr>
        <w:pStyle w:val="FirstParagraph"/>
      </w:pPr>
      <w:r>
        <w:t xml:space="preserve">In the rapidly evolving economy of Abu Dhabi, United Arab Emirates, strategic guidance is not optional – it's fundamental. This Marketing Plan positions our Business Consultant services as the essential catalyst for success in a market where understanding local dynamics is paramount. By embedding deep knowledge of Abu Dhabi’s economic strategy, regulatory nuances, and cultural context into every engagement, we deliver measurable value that directly supports the vision of a thriving, diversified Abu Dhabi economy. We are not merely offering consulting; we are partnering with enterprises to navigate and lead within the heart of the UAE's future growth engine. The time for hyper-localized business excellence in Abu Dhabi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Business Consulting Services in Abu Dhabi, United Arab Emirates</dc:title>
  <dc:creator/>
  <dc:language>en</dc:language>
  <cp:keywords/>
  <dcterms:created xsi:type="dcterms:W3CDTF">2026-07-24T22:13:09Z</dcterms:created>
  <dcterms:modified xsi:type="dcterms:W3CDTF">2026-07-24T22:13:09Z</dcterms:modified>
</cp:coreProperties>
</file>

<file path=docProps/custom.xml><?xml version="1.0" encoding="utf-8"?>
<Properties xmlns="http://schemas.openxmlformats.org/officeDocument/2006/custom-properties" xmlns:vt="http://schemas.openxmlformats.org/officeDocument/2006/docPropsVTypes"/>
</file>