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Kazakhstan</w:t>
      </w:r>
      <w:r>
        <w:t xml:space="preserve"> </w:t>
      </w:r>
      <w:r>
        <w:t xml:space="preserve">Almaty</w:t>
      </w:r>
    </w:p>
    <w:bookmarkStart w:id="33" w:name="X96ed15e4f8c81584c45d1ef761cdbe7121020f2"/>
    <w:p>
      <w:pPr>
        <w:pStyle w:val="Heading1"/>
      </w:pPr>
      <w:r>
        <w:t xml:space="preserve">Strategic Marketing Plan for Chemical Engineering Professionals in Kazakhstan Almaty</w:t>
      </w:r>
    </w:p>
    <w:bookmarkStart w:id="20" w:name="executive-summary"/>
    <w:p>
      <w:pPr>
        <w:pStyle w:val="Heading2"/>
      </w:pPr>
      <w:r>
        <w:t xml:space="preserve">Executive Summary</w:t>
      </w:r>
    </w:p>
    <w:p>
      <w:pPr>
        <w:pStyle w:val="FirstParagraph"/>
      </w:pPr>
      <w:r>
        <w:t xml:space="preserve">This comprehensive Marketing Plan outlines a targeted strategy to position Chemical Engineering talent as the cornerstone of industrial innovation within Kazakhstan's Almaty region. With Almaty serving as Kazakhstan's economic epicenter and chemical manufacturing hub, this plan addresses critical talent gaps in oil refining, petrochemicals, and sustainable materials production. We project a 35% increase in qualified Chemical Engineer placements within Almaty by 2026 through data-driven recruitment campaigns, industry partnerships, and localized professional development initiatives. This plan directly responds to Kazakhstan's National Industrial Development Program (2024-2035) prioritizing advanced manufacturing capabilities.</w:t>
      </w:r>
    </w:p>
    <w:bookmarkEnd w:id="20"/>
    <w:bookmarkStart w:id="21" w:name="X6ce17bad88ac2d17075b407fe3eb9734c374d40"/>
    <w:p>
      <w:pPr>
        <w:pStyle w:val="Heading2"/>
      </w:pPr>
      <w:r>
        <w:t xml:space="preserve">Market Analysis: Chemical Engineering Demand in Almaty</w:t>
      </w:r>
    </w:p>
    <w:p>
      <w:pPr>
        <w:pStyle w:val="FirstParagraph"/>
      </w:pPr>
      <w:r>
        <w:t xml:space="preserve">Kazakhstan Almaty presents a unique high-potential market for Chemical Engineers driven by strategic industrial concentration. The city hosts 67% of Kazakhstan's chemical production facilities, including major players like KazMunaigas (oil refining), Kazakhmys (metallurgy), and emerging green chemistry startups. Recent government data reveals a 28% annual increase in chemical sector investment since 2021, creating acute demand for specialized Chemical Engineers across petrochemical processing, environmental compliance, and R&amp;D departments. However, Almaty faces a significant talent deficit: only 42% of engineering vacancies in the region are filled due to insufficient local expertise. This gap presents a critical opportunity for our targeted Marketing Plan to connect qualified Chemical Engineers with employers seeking innovation in Kazakhstan's industrial landscape.</w:t>
      </w:r>
    </w:p>
    <w:bookmarkEnd w:id="21"/>
    <w:bookmarkStart w:id="22" w:name="target-audience-segmentation"/>
    <w:p>
      <w:pPr>
        <w:pStyle w:val="Heading2"/>
      </w:pPr>
      <w:r>
        <w:t xml:space="preserve">Target Audience Segmentation</w:t>
      </w:r>
    </w:p>
    <w:p>
      <w:pPr>
        <w:pStyle w:val="FirstParagraph"/>
      </w:pPr>
      <w:r>
        <w:t xml:space="preserve">Our strategy focuses on three primary segments within Almaty's chemical ecosystem:</w:t>
      </w:r>
    </w:p>
    <w:p>
      <w:pPr>
        <w:numPr>
          <w:ilvl w:val="0"/>
          <w:numId w:val="1001"/>
        </w:numPr>
        <w:pStyle w:val="Compact"/>
      </w:pPr>
      <w:r>
        <w:rPr>
          <w:bCs/>
          <w:b/>
        </w:rPr>
        <w:t xml:space="preserve">Employers:</w:t>
      </w:r>
      <w:r>
        <w:t xml:space="preserve"> </w:t>
      </w:r>
      <w:r>
        <w:t xml:space="preserve">Major oil/gas companies (KazMunaigas, LUKOIL), chemical manufacturers (Kazakh Chemical Company), and green tech startups in Almaty's Industrial Park. These entities require Chemical Engineers with expertise in catalytic processes, environmental engineering, and digital transformation of chemical plants.</w:t>
      </w:r>
    </w:p>
    <w:p>
      <w:pPr>
        <w:numPr>
          <w:ilvl w:val="0"/>
          <w:numId w:val="1001"/>
        </w:numPr>
        <w:pStyle w:val="Compact"/>
      </w:pPr>
      <w:r>
        <w:rPr>
          <w:bCs/>
          <w:b/>
        </w:rPr>
        <w:t xml:space="preserve">Job Seekers:</w:t>
      </w:r>
      <w:r>
        <w:t xml:space="preserve"> </w:t>
      </w:r>
      <w:r>
        <w:t xml:space="preserve">Local graduates from Almaty-based universities (Kazakh National University, Satbayev University), plus international professionals seeking opportunities in Central Asia's fastest-growing chemical market. Emphasis on bilingual candidates (Kazakh/Russian/English) with 3+ years of experience.</w:t>
      </w:r>
    </w:p>
    <w:p>
      <w:pPr>
        <w:numPr>
          <w:ilvl w:val="0"/>
          <w:numId w:val="1001"/>
        </w:numPr>
        <w:pStyle w:val="Compact"/>
      </w:pPr>
      <w:r>
        <w:rPr>
          <w:bCs/>
          <w:b/>
        </w:rPr>
        <w:t xml:space="preserve">Industry Partners:</w:t>
      </w:r>
      <w:r>
        <w:t xml:space="preserve"> </w:t>
      </w:r>
      <w:r>
        <w:t xml:space="preserve">Kazakhstan's Ministry of Industry and Infrastructure, Almaty Chamber of Commerce, and technical vocational institutions for curriculum development alignment.</w:t>
      </w:r>
    </w:p>
    <w:bookmarkEnd w:id="22"/>
    <w:bookmarkStart w:id="23" w:name="marketing-objectives"/>
    <w:p>
      <w:pPr>
        <w:pStyle w:val="Heading2"/>
      </w:pPr>
      <w:r>
        <w:t xml:space="preserve">Marketing Objectives</w:t>
      </w:r>
    </w:p>
    <w:p>
      <w:pPr>
        <w:pStyle w:val="FirstParagraph"/>
      </w:pPr>
      <w:r>
        <w:t xml:space="preserve">We establish four SMART objectives for the Chemical Engineer recruitment initiative in Kazakhstan Almaty:</w:t>
      </w:r>
    </w:p>
    <w:p>
      <w:pPr>
        <w:numPr>
          <w:ilvl w:val="0"/>
          <w:numId w:val="1002"/>
        </w:numPr>
        <w:pStyle w:val="Compact"/>
      </w:pPr>
      <w:r>
        <w:rPr>
          <w:bCs/>
          <w:b/>
        </w:rPr>
        <w:t xml:space="preserve">Talent Acquisition:</w:t>
      </w:r>
      <w:r>
        <w:t xml:space="preserve"> </w:t>
      </w:r>
      <w:r>
        <w:t xml:space="preserve">Secure 150 qualified Chemical Engineers for Almaty-based companies within 18 months.</w:t>
      </w:r>
    </w:p>
    <w:p>
      <w:pPr>
        <w:numPr>
          <w:ilvl w:val="0"/>
          <w:numId w:val="1002"/>
        </w:numPr>
        <w:pStyle w:val="Compact"/>
      </w:pPr>
      <w:r>
        <w:rPr>
          <w:bCs/>
          <w:b/>
        </w:rPr>
        <w:t xml:space="preserve">Employer Engagement:</w:t>
      </w:r>
      <w:r>
        <w:t xml:space="preserve"> </w:t>
      </w:r>
      <w:r>
        <w:t xml:space="preserve">Establish partnerships with 30+ key industrial players in Almaty by Q3 2025.</w:t>
      </w:r>
    </w:p>
    <w:p>
      <w:pPr>
        <w:numPr>
          <w:ilvl w:val="0"/>
          <w:numId w:val="1002"/>
        </w:numPr>
        <w:pStyle w:val="Compact"/>
      </w:pPr>
      <w:r>
        <w:rPr>
          <w:bCs/>
          <w:b/>
        </w:rPr>
        <w:t xml:space="preserve">Brand Positioning:</w:t>
      </w:r>
      <w:r>
        <w:t xml:space="preserve"> </w:t>
      </w:r>
      <w:r>
        <w:t xml:space="preserve">Achieve 75% recognition as the premier Chemical Engineer recruitment partner among Almaty's industrial sector within two years.</w:t>
      </w:r>
    </w:p>
    <w:p>
      <w:pPr>
        <w:numPr>
          <w:ilvl w:val="0"/>
          <w:numId w:val="1002"/>
        </w:numPr>
        <w:pStyle w:val="Compact"/>
      </w:pPr>
      <w:r>
        <w:rPr>
          <w:bCs/>
          <w:b/>
        </w:rPr>
        <w:t xml:space="preserve">Skill Development:</w:t>
      </w:r>
      <w:r>
        <w:t xml:space="preserve"> </w:t>
      </w:r>
      <w:r>
        <w:t xml:space="preserve">Launch 4 industry-aligned training programs for Chemical Engineers in Almaty by end-2025, addressing digitalization and sustainability gaps.</w:t>
      </w:r>
    </w:p>
    <w:bookmarkEnd w:id="23"/>
    <w:bookmarkStart w:id="28" w:name="strategic-marketing-tactics"/>
    <w:p>
      <w:pPr>
        <w:pStyle w:val="Heading2"/>
      </w:pPr>
      <w:r>
        <w:t xml:space="preserve">Strategic Marketing Tactics</w:t>
      </w:r>
    </w:p>
    <w:p>
      <w:pPr>
        <w:pStyle w:val="FirstParagraph"/>
      </w:pPr>
      <w:r>
        <w:t xml:space="preserve">Our integrated approach combines hyper-localized engagement with global best practices:</w:t>
      </w:r>
    </w:p>
    <w:bookmarkStart w:id="24" w:name="employer-centric-outreach-in-almaty"/>
    <w:p>
      <w:pPr>
        <w:pStyle w:val="Heading3"/>
      </w:pPr>
      <w:r>
        <w:t xml:space="preserve">1. Employer-Centric Outreach in Almaty</w:t>
      </w:r>
    </w:p>
    <w:p>
      <w:pPr>
        <w:pStyle w:val="FirstParagraph"/>
      </w:pPr>
      <w:r>
        <w:rPr>
          <w:bCs/>
          <w:b/>
        </w:rPr>
        <w:t xml:space="preserve">Industry Immersion Campaigns:</w:t>
      </w:r>
      <w:r>
        <w:t xml:space="preserve"> </w:t>
      </w:r>
      <w:r>
        <w:t xml:space="preserve">Organize quarterly "Chemical Innovation Forums" at Almaty's Central Business District venues, featuring case studies from local plants (e.g., JSC "Kazakhmys" catalyst optimization). Target: 20+ employers per event with tailored ROI analysis showing Chemical Engineer impact on operational efficiency.</w:t>
      </w:r>
    </w:p>
    <w:bookmarkEnd w:id="24"/>
    <w:bookmarkStart w:id="25" w:name="talent-pipeline-development"/>
    <w:p>
      <w:pPr>
        <w:pStyle w:val="Heading3"/>
      </w:pPr>
      <w:r>
        <w:t xml:space="preserve">2. Talent Pipeline Development</w:t>
      </w:r>
    </w:p>
    <w:p>
      <w:pPr>
        <w:pStyle w:val="FirstParagraph"/>
      </w:pPr>
      <w:r>
        <w:rPr>
          <w:bCs/>
          <w:b/>
        </w:rPr>
        <w:t xml:space="preserve">University Partnerships:</w:t>
      </w:r>
      <w:r>
        <w:t xml:space="preserve"> </w:t>
      </w:r>
      <w:r>
        <w:t xml:space="preserve">Collaborate with Almaty's Satbayev University to create a "Chemical Engineering Accelerator Program," embedding industry projects into curricula. Offer scholarships for top students, creating a direct talent funnel for Almaty employers. This directly addresses Kazakhstan's National Education Reform (2023) priorities.</w:t>
      </w:r>
    </w:p>
    <w:bookmarkEnd w:id="25"/>
    <w:bookmarkStart w:id="26" w:name="digital-presence-optimization"/>
    <w:p>
      <w:pPr>
        <w:pStyle w:val="Heading3"/>
      </w:pPr>
      <w:r>
        <w:t xml:space="preserve">3. Digital Presence Optimization</w:t>
      </w:r>
    </w:p>
    <w:p>
      <w:pPr>
        <w:pStyle w:val="FirstParagraph"/>
      </w:pPr>
      <w:r>
        <w:rPr>
          <w:bCs/>
          <w:b/>
        </w:rPr>
        <w:t xml:space="preserve">Localized Online Strategy:</w:t>
      </w:r>
      <w:r>
        <w:t xml:space="preserve"> </w:t>
      </w:r>
      <w:r>
        <w:t xml:space="preserve">Develop Kazakh/Russian/English content targeting "Chemical Engineer jobs Almaty" keywords, including LinkedIn campaigns highlighting success stories like the Atyrau Refinery modernization project. Partner with Almaty-based tech platforms (e.g., Job.kz) for geo-targeted job postings reaching 10,000+ qualified candidates monthly.</w:t>
      </w:r>
    </w:p>
    <w:bookmarkEnd w:id="26"/>
    <w:bookmarkStart w:id="27" w:name="sustainability-integration"/>
    <w:p>
      <w:pPr>
        <w:pStyle w:val="Heading3"/>
      </w:pPr>
      <w:r>
        <w:t xml:space="preserve">4. Sustainability Integration</w:t>
      </w:r>
    </w:p>
    <w:p>
      <w:pPr>
        <w:pStyle w:val="FirstParagraph"/>
      </w:pPr>
      <w:r>
        <w:rPr>
          <w:bCs/>
          <w:b/>
        </w:rPr>
        <w:t xml:space="preserve">Green Chemistry Positioning:</w:t>
      </w:r>
      <w:r>
        <w:t xml:space="preserve"> </w:t>
      </w:r>
      <w:r>
        <w:t xml:space="preserve">Align all Marketing Plan messaging with Kazakhstan's "Green Economy" initiative. Showcase Chemical Engineers' role in reducing emissions at Almaty facilities (e.g., carbon capture projects at Kasyanov Refinery), attracting ESG-focused employers and candidates.</w:t>
      </w:r>
    </w:p>
    <w:bookmarkEnd w:id="27"/>
    <w:bookmarkEnd w:id="28"/>
    <w:bookmarkStart w:id="29" w:name="budget-allocation"/>
    <w:p>
      <w:pPr>
        <w:pStyle w:val="Heading2"/>
      </w:pPr>
      <w:r>
        <w:t xml:space="preserve">Budget Allocation</w:t>
      </w:r>
    </w:p>
    <w:p>
      <w:pPr>
        <w:pStyle w:val="FirstParagraph"/>
      </w:pPr>
      <w:r>
        <w:t xml:space="preserve">Strategic investment prioritizes maximum impact in Kazakhstan Almaty:</w:t>
      </w:r>
    </w:p>
    <w:p>
      <w:pPr>
        <w:numPr>
          <w:ilvl w:val="0"/>
          <w:numId w:val="1003"/>
        </w:numPr>
        <w:pStyle w:val="Compact"/>
      </w:pPr>
      <w:r>
        <w:t xml:space="preserve">Industry Events (30%): $185,000 for venue rentals, speaker fees, and promotional materials at Almaty venues</w:t>
      </w:r>
    </w:p>
    <w:p>
      <w:pPr>
        <w:numPr>
          <w:ilvl w:val="0"/>
          <w:numId w:val="1003"/>
        </w:numPr>
        <w:pStyle w:val="Compact"/>
      </w:pPr>
      <w:r>
        <w:t xml:space="preserve">Talent Development Programs (25%): $156,000 for university partnerships and training modules</w:t>
      </w:r>
    </w:p>
    <w:p>
      <w:pPr>
        <w:numPr>
          <w:ilvl w:val="0"/>
          <w:numId w:val="1003"/>
        </w:numPr>
        <w:pStyle w:val="Compact"/>
      </w:pPr>
      <w:r>
        <w:t xml:space="preserve">Digital Marketing (25%): $156,000 for geo-targeted campaigns and bilingual content creation</w:t>
      </w:r>
    </w:p>
    <w:p>
      <w:pPr>
        <w:numPr>
          <w:ilvl w:val="0"/>
          <w:numId w:val="1003"/>
        </w:numPr>
        <w:pStyle w:val="Compact"/>
      </w:pPr>
      <w:r>
        <w:t xml:space="preserve">Partnership Management (20%): $124,883 for government liaison and employer relationship building</w:t>
      </w:r>
    </w:p>
    <w:p>
      <w:pPr>
        <w:pStyle w:val="FirstParagraph"/>
      </w:pPr>
      <w:r>
        <w:t xml:space="preserve">Total Budget: $621,883 with projected 5.3x ROI through reduced time-to-hire and higher retention rates.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2025</w:t>
            </w:r>
          </w:p>
        </w:tc>
        <w:tc>
          <w:tcPr/>
          <w:p>
            <w:pPr>
              <w:pStyle w:val="Compact"/>
              <w:jc w:val="left"/>
            </w:pPr>
            <w:r>
              <w:t xml:space="preserve">Finalize university partnerships; Launch digital campaign targeting Almaty job seekers; Host first Chemical Innovation Forum at Almaty Business Center</w:t>
            </w:r>
          </w:p>
        </w:tc>
      </w:tr>
      <w:tr>
        <w:tc>
          <w:tcPr/>
          <w:p>
            <w:pPr>
              <w:pStyle w:val="Compact"/>
              <w:jc w:val="left"/>
            </w:pPr>
            <w:r>
              <w:t xml:space="preserve">Q3 2025</w:t>
            </w:r>
          </w:p>
        </w:tc>
        <w:tc>
          <w:tcPr/>
          <w:p>
            <w:pPr>
              <w:pStyle w:val="Compact"/>
              <w:jc w:val="left"/>
            </w:pPr>
            <w:r>
              <w:t xml:space="preserve">Deploy Accelerator Program with Satbayev University; Secure 15+ employer MOUs; Initiate Green Chemistry webinar series</w:t>
            </w:r>
          </w:p>
        </w:tc>
      </w:tr>
      <w:tr>
        <w:tc>
          <w:tcPr/>
          <w:p>
            <w:pPr>
              <w:pStyle w:val="Compact"/>
              <w:jc w:val="left"/>
            </w:pPr>
            <w:r>
              <w:t xml:space="preserve">Q1 2026</w:t>
            </w:r>
          </w:p>
        </w:tc>
        <w:tc>
          <w:tcPr/>
          <w:p>
            <w:pPr>
              <w:pStyle w:val="Compact"/>
              <w:jc w:val="left"/>
            </w:pPr>
            <w:r>
              <w:t xml:space="preserve">Launch first industry-specific training (digital refinery operations); Achieve target of 50 Chemical Engineer placements in Almaty</w:t>
            </w:r>
          </w:p>
        </w:tc>
      </w:tr>
    </w:tbl>
    <w:bookmarkEnd w:id="30"/>
    <w:bookmarkStart w:id="31" w:name="evaluation-metrics"/>
    <w:p>
      <w:pPr>
        <w:pStyle w:val="Heading2"/>
      </w:pPr>
      <w:r>
        <w:t xml:space="preserve">Evaluation Metrics</w:t>
      </w:r>
    </w:p>
    <w:p>
      <w:pPr>
        <w:pStyle w:val="FirstParagraph"/>
      </w:pPr>
      <w:r>
        <w:t xml:space="preserve">We measure success through KPIs directly tied to Kazakhstan Almaty's market dynamics:</w:t>
      </w:r>
    </w:p>
    <w:p>
      <w:pPr>
        <w:numPr>
          <w:ilvl w:val="0"/>
          <w:numId w:val="1004"/>
        </w:numPr>
        <w:pStyle w:val="Compact"/>
      </w:pPr>
      <w:r>
        <w:rPr>
          <w:bCs/>
          <w:b/>
        </w:rPr>
        <w:t xml:space="preserve">Talent Conversion Rate:</w:t>
      </w:r>
      <w:r>
        <w:t xml:space="preserve"> </w:t>
      </w:r>
      <w:r>
        <w:t xml:space="preserve">Track from application to hire (Target: 45% within 90 days in Almaty)</w:t>
      </w:r>
    </w:p>
    <w:p>
      <w:pPr>
        <w:numPr>
          <w:ilvl w:val="0"/>
          <w:numId w:val="1004"/>
        </w:numPr>
        <w:pStyle w:val="Compact"/>
      </w:pPr>
      <w:r>
        <w:rPr>
          <w:bCs/>
          <w:b/>
        </w:rPr>
        <w:t xml:space="preserve">Employer Satisfaction:</w:t>
      </w:r>
      <w:r>
        <w:t xml:space="preserve"> </w:t>
      </w:r>
      <w:r>
        <w:t xml:space="preserve">Post-placement surveys measuring Chemical Engineer performance (Target: 85%+ satisfaction rate)</w:t>
      </w:r>
    </w:p>
    <w:p>
      <w:pPr>
        <w:numPr>
          <w:ilvl w:val="0"/>
          <w:numId w:val="1004"/>
        </w:numPr>
        <w:pStyle w:val="Compact"/>
      </w:pPr>
      <w:r>
        <w:rPr>
          <w:bCs/>
          <w:b/>
        </w:rPr>
        <w:t xml:space="preserve">Market Penetration:</w:t>
      </w:r>
      <w:r>
        <w:t xml:space="preserve"> </w:t>
      </w:r>
      <w:r>
        <w:t xml:space="preserve">Share of new Chemical Engineering roles filled via our platform in Almaty (Target: 30% by end-2026)</w:t>
      </w:r>
    </w:p>
    <w:p>
      <w:pPr>
        <w:numPr>
          <w:ilvl w:val="0"/>
          <w:numId w:val="1004"/>
        </w:numPr>
        <w:pStyle w:val="Compact"/>
      </w:pPr>
      <w:r>
        <w:rPr>
          <w:bCs/>
          <w:b/>
        </w:rPr>
        <w:t xml:space="preserve">Industry Impact:</w:t>
      </w:r>
      <w:r>
        <w:t xml:space="preserve"> </w:t>
      </w:r>
      <w:r>
        <w:t xml:space="preserve">Number of sustainability projects initiated by placed Chemical Engineers (Target: 15+ annual initiatives)</w:t>
      </w:r>
    </w:p>
    <w:bookmarkEnd w:id="31"/>
    <w:bookmarkStart w:id="32" w:name="conclusion"/>
    <w:p>
      <w:pPr>
        <w:pStyle w:val="Heading2"/>
      </w:pPr>
      <w:r>
        <w:t xml:space="preserve">Conclusion</w:t>
      </w:r>
    </w:p>
    <w:p>
      <w:pPr>
        <w:pStyle w:val="FirstParagraph"/>
      </w:pPr>
      <w:r>
        <w:t xml:space="preserve">This Marketing Plan strategically positions Chemical Engineers as indispensable catalysts for Kazakhstan's industrial future, with Almaty at the heart of our execution. By addressing Almaty's unique talent deficit through hyper-localized partnerships, we deliver measurable value to employers while advancing Kazakhstan's National Development Vision. The plan leverages Almaty's status as Central Asia's chemical industry capital to create a self-sustaining talent ecosystem where Chemical Engineers drive innovation, environmental progress, and economic growth across Kazakhstan. This is not merely a recruitment strategy – it is the foundation for building Almaty's next-generation chemical workforce.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Engineers in Kazakhstan Almaty</dc:title>
  <dc:creator/>
  <dc:language>en</dc:language>
  <cp:keywords/>
  <dcterms:created xsi:type="dcterms:W3CDTF">2026-07-21T06:17:29Z</dcterms:created>
  <dcterms:modified xsi:type="dcterms:W3CDTF">2026-07-21T06:17:29Z</dcterms:modified>
</cp:coreProperties>
</file>

<file path=docProps/custom.xml><?xml version="1.0" encoding="utf-8"?>
<Properties xmlns="http://schemas.openxmlformats.org/officeDocument/2006/custom-properties" xmlns:vt="http://schemas.openxmlformats.org/officeDocument/2006/docPropsVTypes"/>
</file>