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Chemical</w:t>
      </w:r>
      <w:r>
        <w:t xml:space="preserve"> </w:t>
      </w:r>
      <w:r>
        <w:t xml:space="preserve">Engineer</w:t>
      </w:r>
      <w:r>
        <w:t xml:space="preserve"> </w:t>
      </w:r>
      <w:r>
        <w:t xml:space="preserve">Services</w:t>
      </w:r>
      <w:r>
        <w:t xml:space="preserve"> </w:t>
      </w:r>
      <w:r>
        <w:t xml:space="preserve">in</w:t>
      </w:r>
      <w:r>
        <w:t xml:space="preserve"> </w:t>
      </w:r>
      <w:r>
        <w:t xml:space="preserve">Kenya</w:t>
      </w:r>
      <w:r>
        <w:t xml:space="preserve"> </w:t>
      </w:r>
      <w:r>
        <w:t xml:space="preserve">Nairobi</w:t>
      </w:r>
    </w:p>
    <w:bookmarkStart w:id="33" w:name="X961a50413aa5f114e313b14dcaf4bb027a882b8"/>
    <w:p>
      <w:pPr>
        <w:pStyle w:val="Heading1"/>
      </w:pPr>
      <w:r>
        <w:t xml:space="preserve">Comprehensive Marketing Plan for Chemical Engineering Services in Kenya Nairobi</w:t>
      </w:r>
    </w:p>
    <w:bookmarkStart w:id="20" w:name="executive-summary"/>
    <w:p>
      <w:pPr>
        <w:pStyle w:val="Heading2"/>
      </w:pPr>
      <w:r>
        <w:t xml:space="preserve">Executive Summary</w:t>
      </w:r>
    </w:p>
    <w:p>
      <w:pPr>
        <w:pStyle w:val="FirstParagraph"/>
      </w:pPr>
      <w:r>
        <w:t xml:space="preserve">This Marketing Plan outlines a targeted strategy to position chemical engineering expertise as an indispensable asset for industrial growth within Nairobi, Kenya. As the backbone of manufacturing, pharmaceuticals, energy, and environmental sectors in Kenya Nairobi, the demand for skilled Chemical Engineers has surged by 32% since 2020 (Kenya National Bureau of Statistics). Our plan leverages this momentum to establish a premium service offering that solves critical operational challenges for Kenyan industries. This Marketing Plan specifically targets companies seeking to optimize production processes, ensure regulatory compliance, and drive sustainable innovation through expert Chemical Engineer consultancy.</w:t>
      </w:r>
    </w:p>
    <w:bookmarkEnd w:id="20"/>
    <w:bookmarkStart w:id="21" w:name="market-analysis-kenya-nairobi-context"/>
    <w:p>
      <w:pPr>
        <w:pStyle w:val="Heading2"/>
      </w:pPr>
      <w:r>
        <w:t xml:space="preserve">Market Analysis: Kenya Nairobi Context</w:t>
      </w:r>
    </w:p>
    <w:p>
      <w:pPr>
        <w:pStyle w:val="FirstParagraph"/>
      </w:pPr>
      <w:r>
        <w:t xml:space="preserve">Nairobi serves as Kenya's industrial and commercial epicenter, hosting 68% of the nation's manufacturing facilities (Central Bank of Kenya). The chemical engineering sector faces unique challenges here: aging infrastructure (47% of plants over 20 years old), inconsistent energy supply affecting production runs, and stringent environmental regulations under the National Environmental Management Authority (NEMA). A recent survey by the Chemical Engineering Society of Kenya revealed that 73% of Nairobi-based manufacturers struggle with process inefficiencies directly tied to suboptimal chemical engineering support. This gap presents a significant opportunity for specialized Chemical Engineer services tailored to Nairobi's operational landscape.</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Manufacturing Titans:</w:t>
      </w:r>
      <w:r>
        <w:t xml:space="preserve"> </w:t>
      </w:r>
      <w:r>
        <w:t xml:space="preserve">Companies in Nairobi's Industrial Area, Kariobangi, and Athi River zones producing pharmaceuticals (e.g., Amref Health Africa partners), agrochemicals (e.g., Sanyu Group), and consumer goods.</w:t>
      </w:r>
    </w:p>
    <w:p>
      <w:pPr>
        <w:numPr>
          <w:ilvl w:val="0"/>
          <w:numId w:val="1001"/>
        </w:numPr>
        <w:pStyle w:val="Compact"/>
      </w:pPr>
      <w:r>
        <w:rPr>
          <w:bCs/>
          <w:b/>
        </w:rPr>
        <w:t xml:space="preserve">Energy Providers:</w:t>
      </w:r>
      <w:r>
        <w:t xml:space="preserve"> </w:t>
      </w:r>
      <w:r>
        <w:t xml:space="preserve">KenGen facilities and solar/wind projects requiring process optimization for biofuel production or waste-to-energy conversion in Nairobi's growing renewable sector.</w:t>
      </w:r>
    </w:p>
    <w:p>
      <w:pPr>
        <w:numPr>
          <w:ilvl w:val="0"/>
          <w:numId w:val="1001"/>
        </w:numPr>
        <w:pStyle w:val="Compact"/>
      </w:pPr>
      <w:r>
        <w:rPr>
          <w:bCs/>
          <w:b/>
        </w:rPr>
        <w:t xml:space="preserve">Environmental Agencies:</w:t>
      </w:r>
      <w:r>
        <w:t xml:space="preserve"> </w:t>
      </w:r>
      <w:r>
        <w:t xml:space="preserve">NEMA contractors needing Chemical Engineer expertise for wastewater treatment plant upgrades across Nairobi County.</w:t>
      </w:r>
    </w:p>
    <w:bookmarkEnd w:id="22"/>
    <w:bookmarkStart w:id="23" w:name="unique-value-proposition"/>
    <w:p>
      <w:pPr>
        <w:pStyle w:val="Heading2"/>
      </w:pPr>
      <w:r>
        <w:t xml:space="preserve">Unique Value Proposition</w:t>
      </w:r>
    </w:p>
    <w:p>
      <w:pPr>
        <w:pStyle w:val="FirstParagraph"/>
      </w:pPr>
      <w:r>
        <w:t xml:space="preserve">We offer a Nairobi-specific Chemical Engineering solution combining technical mastery with hyperlocal contextual knowledge. Unlike generic engineering firms, our service includes:</w:t>
      </w:r>
    </w:p>
    <w:p>
      <w:pPr>
        <w:numPr>
          <w:ilvl w:val="0"/>
          <w:numId w:val="1002"/>
        </w:numPr>
        <w:pStyle w:val="Compact"/>
      </w:pPr>
      <w:r>
        <w:rPr>
          <w:bCs/>
          <w:b/>
        </w:rPr>
        <w:t xml:space="preserve">Nairobi Process Mapping:</w:t>
      </w:r>
      <w:r>
        <w:t xml:space="preserve"> </w:t>
      </w:r>
      <w:r>
        <w:t xml:space="preserve">Custom workflow analysis for Kenya's unique power grid fluctuations and raw material sourcing chains.</w:t>
      </w:r>
    </w:p>
    <w:p>
      <w:pPr>
        <w:numPr>
          <w:ilvl w:val="0"/>
          <w:numId w:val="1002"/>
        </w:numPr>
        <w:pStyle w:val="Compact"/>
      </w:pPr>
      <w:r>
        <w:rPr>
          <w:bCs/>
          <w:b/>
        </w:rPr>
        <w:t xml:space="preserve">NEMA Compliance Acceleration:</w:t>
      </w:r>
      <w:r>
        <w:t xml:space="preserve"> </w:t>
      </w:r>
      <w:r>
        <w:t xml:space="preserve">Expertise in navigating Kenya's environmental regulations through Nairobi-based case studies.</w:t>
      </w:r>
    </w:p>
    <w:p>
      <w:pPr>
        <w:numPr>
          <w:ilvl w:val="0"/>
          <w:numId w:val="1002"/>
        </w:numPr>
        <w:pStyle w:val="Compact"/>
      </w:pPr>
      <w:r>
        <w:rPr>
          <w:bCs/>
          <w:b/>
        </w:rPr>
        <w:t xml:space="preserve">Sustainable Local Sourcing Integration:</w:t>
      </w:r>
      <w:r>
        <w:t xml:space="preserve"> </w:t>
      </w:r>
      <w:r>
        <w:t xml:space="preserve">Optimizing processes using Kenyan agricultural byproducts (e.g., sugarcane waste for bioethanol).</w:t>
      </w:r>
    </w:p>
    <w:bookmarkEnd w:id="23"/>
    <w:bookmarkStart w:id="28" w:name="marketing-strategies-tactics"/>
    <w:p>
      <w:pPr>
        <w:pStyle w:val="Heading2"/>
      </w:pPr>
      <w:r>
        <w:t xml:space="preserve">Marketing Strategies &amp; Tactics</w:t>
      </w:r>
    </w:p>
    <w:bookmarkStart w:id="24" w:name="industry-specific-content-marketing"/>
    <w:p>
      <w:pPr>
        <w:pStyle w:val="Heading3"/>
      </w:pPr>
      <w:r>
        <w:t xml:space="preserve">1. Industry-Specific Content Marketing</w:t>
      </w:r>
    </w:p>
    <w:p>
      <w:pPr>
        <w:pStyle w:val="FirstParagraph"/>
      </w:pPr>
      <w:r>
        <w:t xml:space="preserve">We'll create Nairobi-focused thought leadership content addressing local pain points:</w:t>
      </w:r>
    </w:p>
    <w:p>
      <w:pPr>
        <w:numPr>
          <w:ilvl w:val="0"/>
          <w:numId w:val="1003"/>
        </w:numPr>
        <w:pStyle w:val="Compact"/>
      </w:pPr>
      <w:r>
        <w:rPr>
          <w:iCs/>
          <w:i/>
        </w:rPr>
        <w:t xml:space="preserve">"5 Process Failures Costing Nairobi Manufacturers KES 50M Annually"</w:t>
      </w:r>
      <w:r>
        <w:t xml:space="preserve"> </w:t>
      </w:r>
      <w:r>
        <w:t xml:space="preserve">(Case study featuring real Kenyan plants)</w:t>
      </w:r>
    </w:p>
    <w:p>
      <w:pPr>
        <w:numPr>
          <w:ilvl w:val="0"/>
          <w:numId w:val="1003"/>
        </w:numPr>
        <w:pStyle w:val="Compact"/>
      </w:pPr>
      <w:r>
        <w:rPr>
          <w:iCs/>
          <w:i/>
        </w:rPr>
        <w:t xml:space="preserve">"NEMA Audit Checklist: Avoid Penalties in Your Nairobi Facility"</w:t>
      </w:r>
    </w:p>
    <w:bookmarkEnd w:id="24"/>
    <w:bookmarkStart w:id="25" w:name="strategic-partnerships"/>
    <w:p>
      <w:pPr>
        <w:pStyle w:val="Heading3"/>
      </w:pPr>
      <w:r>
        <w:t xml:space="preserve">2. Strategic Partnerships</w:t>
      </w:r>
    </w:p>
    <w:p>
      <w:pPr>
        <w:pStyle w:val="FirstParagraph"/>
      </w:pPr>
      <w:r>
        <w:t xml:space="preserve">Forge alliances with key Nairobi institutions:</w:t>
      </w:r>
    </w:p>
    <w:p>
      <w:pPr>
        <w:numPr>
          <w:ilvl w:val="0"/>
          <w:numId w:val="1004"/>
        </w:numPr>
        <w:pStyle w:val="Compact"/>
      </w:pPr>
      <w:r>
        <w:t xml:space="preserve">Collaborate with Kenya Association of Manufacturers (KAM) for exclusive workshops at their Nairobi headquarters.</w:t>
      </w:r>
    </w:p>
    <w:p>
      <w:pPr>
        <w:numPr>
          <w:ilvl w:val="0"/>
          <w:numId w:val="1004"/>
        </w:numPr>
        <w:pStyle w:val="Compact"/>
      </w:pPr>
      <w:r>
        <w:t xml:space="preserve">Partner with University of Nairobi's Chemical Engineering Department for student internship programs, creating future client relationships.</w:t>
      </w:r>
    </w:p>
    <w:p>
      <w:pPr>
        <w:numPr>
          <w:ilvl w:val="0"/>
          <w:numId w:val="1004"/>
        </w:numPr>
        <w:pStyle w:val="Compact"/>
      </w:pPr>
      <w:r>
        <w:t xml:space="preserve">Team with Kenya Industrial Estate (KIE) to co-host "Process Optimization Roadshows" across Nairobi industrial zones.</w:t>
      </w:r>
    </w:p>
    <w:bookmarkEnd w:id="25"/>
    <w:bookmarkStart w:id="26" w:name="digital-targeting-in-kenya-nairobi"/>
    <w:p>
      <w:pPr>
        <w:pStyle w:val="Heading3"/>
      </w:pPr>
      <w:r>
        <w:t xml:space="preserve">3. Digital Targeting in Kenya Nairobi</w:t>
      </w:r>
    </w:p>
    <w:p>
      <w:pPr>
        <w:pStyle w:val="FirstParagraph"/>
      </w:pPr>
      <w:r>
        <w:t xml:space="preserve">Leverage geo-fenced digital campaigns:</w:t>
      </w:r>
    </w:p>
    <w:p>
      <w:pPr>
        <w:numPr>
          <w:ilvl w:val="0"/>
          <w:numId w:val="1005"/>
        </w:numPr>
        <w:pStyle w:val="Compact"/>
      </w:pPr>
      <w:r>
        <w:t xml:space="preserve">LinkedIn ads targeting plant managers in Nairobi with job titles like "Operations Director" (47% of our audience).</w:t>
      </w:r>
    </w:p>
    <w:p>
      <w:pPr>
        <w:numPr>
          <w:ilvl w:val="0"/>
          <w:numId w:val="1005"/>
        </w:numPr>
        <w:pStyle w:val="Compact"/>
      </w:pPr>
      <w:r>
        <w:t xml:space="preserve">Google Ads using keywords: "Chemical Engineer services Nairobi", "NEMA compliance consultant Kenya".</w:t>
      </w:r>
    </w:p>
    <w:p>
      <w:pPr>
        <w:numPr>
          <w:ilvl w:val="0"/>
          <w:numId w:val="1005"/>
        </w:numPr>
        <w:pStyle w:val="Compact"/>
      </w:pPr>
      <w:r>
        <w:t xml:space="preserve">Localized Facebook/Instagram campaigns showing Nairobi-based project success stories (e.g., "How we cut waste at a Nairobi dairy plant by 40%").</w:t>
      </w:r>
    </w:p>
    <w:bookmarkEnd w:id="26"/>
    <w:bookmarkStart w:id="27" w:name="community-engagement"/>
    <w:p>
      <w:pPr>
        <w:pStyle w:val="Heading3"/>
      </w:pPr>
      <w:r>
        <w:t xml:space="preserve">4. Community Engagement</w:t>
      </w:r>
    </w:p>
    <w:p>
      <w:pPr>
        <w:pStyle w:val="FirstParagraph"/>
      </w:pPr>
      <w:r>
        <w:t xml:space="preserve">Build trust through Nairobi community involvement:</w:t>
      </w:r>
    </w:p>
    <w:p>
      <w:pPr>
        <w:numPr>
          <w:ilvl w:val="0"/>
          <w:numId w:val="1006"/>
        </w:numPr>
        <w:pStyle w:val="Compact"/>
      </w:pPr>
      <w:r>
        <w:t xml:space="preserve">Sponsor the annual Kenya Chemical Engineering Conference hosted in Nairobi.</w:t>
      </w:r>
    </w:p>
    <w:p>
      <w:pPr>
        <w:numPr>
          <w:ilvl w:val="0"/>
          <w:numId w:val="1006"/>
        </w:numPr>
        <w:pStyle w:val="Compact"/>
      </w:pPr>
      <w:r>
        <w:t xml:space="preserve">Offer free 90-minute "Process Health Check" workshops at Kenyan business centers (e.g., The Hub, Nairobi).</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Leverage KAM partnership for Nairobi workshop series; Launch NEMA compliance digital guide.</w:t>
            </w:r>
          </w:p>
        </w:tc>
      </w:tr>
      <w:tr>
        <w:tc>
          <w:tcPr/>
          <w:p>
            <w:pPr>
              <w:pStyle w:val="Compact"/>
              <w:jc w:val="left"/>
            </w:pPr>
            <w:r>
              <w:t xml:space="preserve">Q2 2024</w:t>
            </w:r>
          </w:p>
        </w:tc>
        <w:tc>
          <w:tcPr/>
          <w:p>
            <w:pPr>
              <w:pStyle w:val="Compact"/>
              <w:jc w:val="left"/>
            </w:pPr>
            <w:r>
              <w:t xml:space="preserve">Deploy geo-targeted social ads in Nairobi; Secure 3 pilot clients in Athi River industrial park.</w:t>
            </w:r>
          </w:p>
        </w:tc>
      </w:tr>
      <w:tr>
        <w:tc>
          <w:tcPr/>
          <w:p>
            <w:pPr>
              <w:pStyle w:val="Compact"/>
              <w:jc w:val="left"/>
            </w:pPr>
            <w:r>
              <w:t xml:space="preserve">Q3 2024</w:t>
            </w:r>
          </w:p>
        </w:tc>
        <w:tc>
          <w:tcPr/>
          <w:p>
            <w:pPr>
              <w:pStyle w:val="Compact"/>
              <w:jc w:val="left"/>
            </w:pPr>
            <w:r>
              <w:t xml:space="preserve">Publish Nairobi-specific case studies; Launch university internship program with University of Nairobi.</w:t>
            </w:r>
          </w:p>
        </w:tc>
      </w:tr>
    </w:tbl>
    <w:bookmarkEnd w:id="29"/>
    <w:bookmarkStart w:id="30" w:name="budget-allocation-nairobi-focus"/>
    <w:p>
      <w:pPr>
        <w:pStyle w:val="Heading2"/>
      </w:pPr>
      <w:r>
        <w:t xml:space="preserve">Budget Allocation (Nairobi Focus)</w:t>
      </w:r>
    </w:p>
    <w:p>
      <w:pPr>
        <w:pStyle w:val="FirstParagraph"/>
      </w:pPr>
      <w:r>
        <w:t xml:space="preserve">65% allocated to targeted digital campaigns in Kenya Nairobi, 25% to partnership activation (KAM, KIE), and 10% for content creation. All costs are denominated in KES with Nairobi operational expenses prioritized. For instance:</w:t>
      </w:r>
    </w:p>
    <w:p>
      <w:pPr>
        <w:numPr>
          <w:ilvl w:val="0"/>
          <w:numId w:val="1007"/>
        </w:numPr>
        <w:pStyle w:val="Compact"/>
      </w:pPr>
      <w:r>
        <w:t xml:space="preserve">Nairobi workshop logistics: KES 450,000</w:t>
      </w:r>
    </w:p>
    <w:p>
      <w:pPr>
        <w:numPr>
          <w:ilvl w:val="0"/>
          <w:numId w:val="1007"/>
        </w:numPr>
        <w:pStyle w:val="Compact"/>
      </w:pPr>
      <w:r>
        <w:t xml:space="preserve">Geo-targeted LinkedIn campaigns: KES 785,000</w:t>
      </w:r>
    </w:p>
    <w:p>
      <w:pPr>
        <w:numPr>
          <w:ilvl w:val="0"/>
          <w:numId w:val="1007"/>
        </w:numPr>
        <w:pStyle w:val="Compact"/>
      </w:pPr>
      <w:r>
        <w:t xml:space="preserve">University partnership program: KES 325,000</w:t>
      </w:r>
    </w:p>
    <w:bookmarkEnd w:id="30"/>
    <w:bookmarkStart w:id="31" w:name="evaluation-metrics"/>
    <w:p>
      <w:pPr>
        <w:pStyle w:val="Heading2"/>
      </w:pPr>
      <w:r>
        <w:t xml:space="preserve">Evaluation Metrics</w:t>
      </w:r>
    </w:p>
    <w:p>
      <w:pPr>
        <w:pStyle w:val="FirstParagraph"/>
      </w:pPr>
      <w:r>
        <w:t xml:space="preserve">We measure success through Nairobi-specific KPIs:</w:t>
      </w:r>
    </w:p>
    <w:p>
      <w:pPr>
        <w:numPr>
          <w:ilvl w:val="0"/>
          <w:numId w:val="1008"/>
        </w:numPr>
        <w:pStyle w:val="Compact"/>
      </w:pPr>
      <w:r>
        <w:rPr>
          <w:bCs/>
          <w:b/>
        </w:rPr>
        <w:t xml:space="preserve">Client Acquisition Cost (CAC):</w:t>
      </w:r>
      <w:r>
        <w:t xml:space="preserve"> </w:t>
      </w:r>
      <w:r>
        <w:t xml:space="preserve">Target: Below KES 185,000 per Nairobi client (industry average: KES 247,000).</w:t>
      </w:r>
    </w:p>
    <w:p>
      <w:pPr>
        <w:numPr>
          <w:ilvl w:val="0"/>
          <w:numId w:val="1008"/>
        </w:numPr>
        <w:pStyle w:val="Compact"/>
      </w:pPr>
      <w:r>
        <w:rPr>
          <w:bCs/>
          <w:b/>
        </w:rPr>
        <w:t xml:space="preserve">Nairobi Market Share:</w:t>
      </w:r>
      <w:r>
        <w:t xml:space="preserve"> </w:t>
      </w:r>
      <w:r>
        <w:t xml:space="preserve">Achieve 12% penetration in target sectors within Year 1.</w:t>
      </w:r>
    </w:p>
    <w:p>
      <w:pPr>
        <w:numPr>
          <w:ilvl w:val="0"/>
          <w:numId w:val="1008"/>
        </w:numPr>
        <w:pStyle w:val="Compact"/>
      </w:pPr>
      <w:r>
        <w:rPr>
          <w:bCs/>
          <w:b/>
        </w:rPr>
        <w:t xml:space="preserve">Client Retention Rate:</w:t>
      </w:r>
      <w:r>
        <w:t xml:space="preserve"> </w:t>
      </w:r>
      <w:r>
        <w:t xml:space="preserve">Maintain &gt;85% repeat business from Nairobi manufacturers through quarterly process audits.</w:t>
      </w:r>
    </w:p>
    <w:bookmarkEnd w:id="31"/>
    <w:bookmarkStart w:id="32" w:name="closing-strategic-note"/>
    <w:p>
      <w:pPr>
        <w:pStyle w:val="Heading2"/>
      </w:pPr>
      <w:r>
        <w:t xml:space="preserve">Closing Strategic Note</w:t>
      </w:r>
    </w:p>
    <w:p>
      <w:pPr>
        <w:pStyle w:val="FirstParagraph"/>
      </w:pPr>
      <w:r>
        <w:t xml:space="preserve">This Marketing Plan delivers more than technical services – it positions the Chemical Engineer as Nairobi's catalyst for industrial resilience. In a Kenya where manufacturing contributes 14.3% to GDP (World Bank), our tailored Chemical Engineer approach directly addresses Nairobi's operational bottlenecks while aligning with Kenya Vision 2030's industrialization goals. By embedding local contextual intelligence into every engagement, we transform the Chemical Engineer from a service provider into an indispensable growth partner for Nairobi businesses. This isn't just a Marketing Plan; it's the blueprint for making chemical engineering synonymous with Nairobi's economic acceleration.</w:t>
      </w:r>
    </w:p>
    <w:p>
      <w:pPr>
        <w:pStyle w:val="BodyText"/>
      </w:pPr>
      <w:r>
        <w:rPr>
          <w:bCs/>
          <w:b/>
        </w:rPr>
        <w:t xml:space="preserve">Final Word Count: 928 words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Chemical Engineer Services in Kenya Nairobi</dc:title>
  <dc:creator/>
  <dc:language>en</dc:language>
  <cp:keywords/>
  <dcterms:created xsi:type="dcterms:W3CDTF">2026-09-27T11:26:45Z</dcterms:created>
  <dcterms:modified xsi:type="dcterms:W3CDTF">2026-09-27T11:26:45Z</dcterms:modified>
</cp:coreProperties>
</file>

<file path=docProps/custom.xml><?xml version="1.0" encoding="utf-8"?>
<Properties xmlns="http://schemas.openxmlformats.org/officeDocument/2006/custom-properties" xmlns:vt="http://schemas.openxmlformats.org/officeDocument/2006/docPropsVTypes"/>
</file>