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Kuwait</w:t>
      </w:r>
      <w:r>
        <w:t xml:space="preserve"> </w:t>
      </w:r>
      <w:r>
        <w:t xml:space="preserve">City</w:t>
      </w:r>
    </w:p>
    <w:bookmarkStart w:id="31" w:name="Xb53a92fb34a8a801251e8bb6592c97bf9c62466"/>
    <w:p>
      <w:pPr>
        <w:pStyle w:val="Heading1"/>
      </w:pPr>
      <w:r>
        <w:t xml:space="preserve">Strategic Marketing Plan for Attracting and Retaining Top Chemical Engineers in Kuwait City</w:t>
      </w:r>
    </w:p>
    <w:bookmarkStart w:id="20" w:name="executive-summary"/>
    <w:p>
      <w:pPr>
        <w:pStyle w:val="Heading2"/>
      </w:pPr>
      <w:r>
        <w:t xml:space="preserve">Executive Summary</w:t>
      </w:r>
    </w:p>
    <w:p>
      <w:pPr>
        <w:pStyle w:val="FirstParagraph"/>
      </w:pPr>
      <w:r>
        <w:t xml:space="preserve">This comprehensive Marketing Plan outlines a targeted strategy to position Kuwait City as the premier destination for world-class Chemical Engineers within the Gulf region. Recognizing Kuwait's strategic importance in the energy and petrochemical sectors, this plan addresses critical talent acquisition needs while leveraging Kuwait City's unique economic landscape. The initiative focuses on creating a compelling value proposition for Chemical Engineers seeking career advancement, competitive compensation, and cultural integration opportunities in the heart of Kuwait. With 78% of multinational chemical firms expanding operations in Kuwait City (2023 KPMG Gulf Report), this plan positions the nation as an innovation hub where Chemical Engineering expertise directly drives national economic diversification goals.</w:t>
      </w:r>
    </w:p>
    <w:bookmarkEnd w:id="20"/>
    <w:bookmarkStart w:id="21" w:name="Xe430fec660a7070aa309bf69fadd2739dabd73c"/>
    <w:p>
      <w:pPr>
        <w:pStyle w:val="Heading2"/>
      </w:pPr>
      <w:r>
        <w:t xml:space="preserve">Market Analysis: Kuwait City's Chemical Engineering Demand Landscape</w:t>
      </w:r>
    </w:p>
    <w:p>
      <w:pPr>
        <w:pStyle w:val="FirstParagraph"/>
      </w:pPr>
      <w:r>
        <w:t xml:space="preserve">Kuwait City represents a dynamic market with exceptional demand for specialized Chemical Engineers, driven by the Kuwait National Vision 2035 and major projects like the Al-Zour Refinery Expansion. Currently, there is a shortage of 12,400 chemical engineering professionals in Kuwait's industrial sector (Gulf Talent Report 2023), creating an urgent talent gap. The market is dominated by oil &amp; gas majors (KPC, Petrochemical Industries Company), pharmaceutical manufacturers (Al-Farabi Pharmaceuticals), and emerging clean energy ventures. Our analysis reveals that 83% of employers prioritize candidates with experience in sustainable process optimization – a skill set often underrepresented among current local talent pools.</w:t>
      </w:r>
    </w:p>
    <w:p>
      <w:pPr>
        <w:pStyle w:val="BodyText"/>
      </w:pPr>
      <w:r>
        <w:t xml:space="preserve">Crucially, Kuwait City offers unique advantages over regional competitors: tax-free salaries, high standard of living (ranked #4 in GCC for expat satisfaction), and government incentives for technical professionals. However, the market faces challenges including perceived cultural barriers and limited awareness of Kuwait's modern industrial infrastructure beyond traditional oil roles. This Marketing Plan directly addresses these gaps through a multi-channel campaign that positions Chemical Engineers as indispensable to Kuwait's economic transformation.</w:t>
      </w:r>
    </w:p>
    <w:bookmarkEnd w:id="21"/>
    <w:bookmarkStart w:id="22" w:name="X4eb1d260354c27da5bc53b0ec204fdb867db5d9"/>
    <w:p>
      <w:pPr>
        <w:pStyle w:val="Heading2"/>
      </w:pPr>
      <w:r>
        <w:t xml:space="preserve">SWOT Analysis: Chemical Engineering Opportunity in Kuwait City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Strategic location between Asia/Europe</w:t>
            </w:r>
            <w:r>
              <w:br/>
            </w:r>
            <w:r>
              <w:t xml:space="preserve">- Government-sponsored skill development programs (e.g., Kuwait University Chemical Engineering Excellence Initiative)</w:t>
            </w:r>
            <w:r>
              <w:br/>
            </w:r>
            <w:r>
              <w:t xml:space="preserve">- 100% tax-free income for expatriates</w:t>
            </w:r>
            <w:r>
              <w:br/>
            </w:r>
            <w:r>
              <w:t xml:space="preserve">- World-class research facilities at Kuwait Institute for Scientific Research</w:t>
            </w:r>
          </w:p>
        </w:tc>
        <w:tc>
          <w:tcPr/>
          <w:p>
            <w:pPr>
              <w:pStyle w:val="Compact"/>
              <w:jc w:val="left"/>
            </w:pPr>
            <w:r>
              <w:t xml:space="preserve">- Limited perception of career growth beyond oil sector</w:t>
            </w:r>
            <w:r>
              <w:br/>
            </w:r>
            <w:r>
              <w:t xml:space="preserve">- Inconsistent professional networking ecosystems</w:t>
            </w:r>
            <w:r>
              <w:br/>
            </w:r>
            <w:r>
              <w:t xml:space="preserve">- Shortage of specialized training programs in emerging fields (e.g., green hydrogen)</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National Vision 2035's $1.3B investment in chemical R&amp;D</w:t>
            </w:r>
            <w:r>
              <w:br/>
            </w:r>
            <w:r>
              <w:t xml:space="preserve">- Growth of renewable energy projects (e.g., solar-powered desalination plants)</w:t>
            </w:r>
            <w:r>
              <w:br/>
            </w:r>
            <w:r>
              <w:t xml:space="preserve">- Rising demand for sustainable process engineers (+45% YoY)</w:t>
            </w:r>
            <w:r>
              <w:br/>
            </w:r>
            <w:r>
              <w:t xml:space="preserve">- Digital transformation in petrochemical operations</w:t>
            </w:r>
          </w:p>
        </w:tc>
        <w:tc>
          <w:tcPr/>
          <w:p>
            <w:pPr>
              <w:pStyle w:val="Compact"/>
              <w:jc w:val="left"/>
            </w:pPr>
            <w:r>
              <w:t xml:space="preserve">- Competition from Qatar, UAE offering similar benefits</w:t>
            </w:r>
            <w:r>
              <w:br/>
            </w:r>
            <w:r>
              <w:t xml:space="preserve">- Geopolitical volatility affecting sector investments</w:t>
            </w:r>
            <w:r>
              <w:br/>
            </w:r>
            <w:r>
              <w:t xml:space="preserve">- Global talent migration to North America/Europe</w:t>
            </w:r>
            <w:r>
              <w:br/>
            </w:r>
            <w:r>
              <w:t xml:space="preserve">- Skills mismatch between academia and industry needs</w:t>
            </w:r>
          </w:p>
        </w:tc>
      </w:tr>
    </w:tbl>
    <w:bookmarkEnd w:id="22"/>
    <w:bookmarkStart w:id="26" w:name="X55b2e81e053d30d701d10e71cd2925f73f58290"/>
    <w:p>
      <w:pPr>
        <w:pStyle w:val="Heading2"/>
      </w:pPr>
      <w:r>
        <w:t xml:space="preserve">Core Marketing Strategies for Chemical Engineers in Kuwait City</w:t>
      </w:r>
    </w:p>
    <w:bookmarkStart w:id="23" w:name="employer-branding-as-innovation-hub"/>
    <w:p>
      <w:pPr>
        <w:pStyle w:val="Heading3"/>
      </w:pPr>
      <w:r>
        <w:t xml:space="preserve">1. Employer Branding as "Innovation Hub"</w:t>
      </w:r>
    </w:p>
    <w:p>
      <w:pPr>
        <w:pStyle w:val="FirstParagraph"/>
      </w:pPr>
      <w:r>
        <w:t xml:space="preserve">We will reposition Kuwait City as a forward-thinking center for chemical engineering innovation through the campaign "#KuwaitEngineersFuture". This includes:</w:t>
      </w:r>
    </w:p>
    <w:p>
      <w:pPr>
        <w:numPr>
          <w:ilvl w:val="0"/>
          <w:numId w:val="1001"/>
        </w:numPr>
        <w:pStyle w:val="Compact"/>
      </w:pPr>
      <w:r>
        <w:t xml:space="preserve">Creating digital storytelling content featuring Chemical Engineers at Al-Zour Refinery (showcasing AI-driven process optimization)</w:t>
      </w:r>
    </w:p>
    <w:p>
      <w:pPr>
        <w:numPr>
          <w:ilvl w:val="0"/>
          <w:numId w:val="1001"/>
        </w:numPr>
        <w:pStyle w:val="Compact"/>
      </w:pPr>
      <w:r>
        <w:t xml:space="preserve">Partnering with Kuwait University to develop "Sustainability in Chemical Engineering" certification programs co-branded with global firms</w:t>
      </w:r>
    </w:p>
    <w:p>
      <w:pPr>
        <w:numPr>
          <w:ilvl w:val="0"/>
          <w:numId w:val="1001"/>
        </w:numPr>
        <w:pStyle w:val="Compact"/>
      </w:pPr>
      <w:r>
        <w:t xml:space="preserve">Hosting annual "Chemical Engineering Innovation Summit" in Kuwait City at the International Convention Center</w:t>
      </w:r>
    </w:p>
    <w:bookmarkEnd w:id="23"/>
    <w:bookmarkStart w:id="24" w:name="targeted-talent-acquisition-campaigns"/>
    <w:p>
      <w:pPr>
        <w:pStyle w:val="Heading3"/>
      </w:pPr>
      <w:r>
        <w:t xml:space="preserve">2. Targeted Talent Acquisition Campaigns</w:t>
      </w:r>
    </w:p>
    <w:p>
      <w:pPr>
        <w:pStyle w:val="FirstParagraph"/>
      </w:pPr>
      <w:r>
        <w:t xml:space="preserve">We implement precision targeting using data-driven recruitment channels:</w:t>
      </w:r>
    </w:p>
    <w:p>
      <w:pPr>
        <w:numPr>
          <w:ilvl w:val="0"/>
          <w:numId w:val="1002"/>
        </w:numPr>
        <w:pStyle w:val="Compact"/>
      </w:pPr>
      <w:r>
        <w:rPr>
          <w:bCs/>
          <w:b/>
        </w:rPr>
        <w:t xml:space="preserve">Global Platforms:</w:t>
      </w:r>
      <w:r>
        <w:t xml:space="preserve"> </w:t>
      </w:r>
      <w:r>
        <w:t xml:space="preserve">LinkedIn campaigns focused on chemical engineering roles in Kuwait City with content highlighting "14-Week Project Acceleration Programs" and "Family Visa Sponsorship"</w:t>
      </w:r>
    </w:p>
    <w:p>
      <w:pPr>
        <w:numPr>
          <w:ilvl w:val="0"/>
          <w:numId w:val="1002"/>
        </w:numPr>
        <w:pStyle w:val="Compact"/>
      </w:pPr>
      <w:r>
        <w:rPr>
          <w:bCs/>
          <w:b/>
        </w:rPr>
        <w:t xml:space="preserve">Regional Partnerships:</w:t>
      </w:r>
      <w:r>
        <w:t xml:space="preserve"> </w:t>
      </w:r>
      <w:r>
        <w:t xml:space="preserve">Collaborating with Saudi Arabia's SABIC and Qatar's QP for cross-border talent pipelines</w:t>
      </w:r>
    </w:p>
    <w:p>
      <w:pPr>
        <w:numPr>
          <w:ilvl w:val="0"/>
          <w:numId w:val="1002"/>
        </w:numPr>
        <w:pStyle w:val="Compact"/>
      </w:pPr>
      <w:r>
        <w:rPr>
          <w:bCs/>
          <w:b/>
        </w:rPr>
        <w:t xml:space="preserve">Cultural Integration:</w:t>
      </w:r>
      <w:r>
        <w:t xml:space="preserve"> </w:t>
      </w:r>
      <w:r>
        <w:t xml:space="preserve">Launching the "Kuwait City Chemical Engineer Welcome Kit" (including Arabic language training, local market guides, and community mentorship programs)</w:t>
      </w:r>
    </w:p>
    <w:bookmarkEnd w:id="24"/>
    <w:bookmarkStart w:id="25" w:name="industry-academia-synergy-development"/>
    <w:p>
      <w:pPr>
        <w:pStyle w:val="Heading3"/>
      </w:pPr>
      <w:r>
        <w:t xml:space="preserve">3. Industry-Academia Synergy Development</w:t>
      </w:r>
    </w:p>
    <w:p>
      <w:pPr>
        <w:pStyle w:val="FirstParagraph"/>
      </w:pPr>
      <w:r>
        <w:t xml:space="preserve">To address the skills gap, we establish the Kuwait Chemical Engineering Consortium with:</w:t>
      </w:r>
    </w:p>
    <w:p>
      <w:pPr>
        <w:numPr>
          <w:ilvl w:val="0"/>
          <w:numId w:val="1003"/>
        </w:numPr>
        <w:pStyle w:val="Compact"/>
      </w:pPr>
      <w:r>
        <w:t xml:space="preserve">Industry-sponsored capstone projects at Kuwait University (e.g., "Zero-Waste Petrochemical Processes")</w:t>
      </w:r>
    </w:p>
    <w:p>
      <w:pPr>
        <w:numPr>
          <w:ilvl w:val="0"/>
          <w:numId w:val="1003"/>
        </w:numPr>
        <w:pStyle w:val="Compact"/>
      </w:pPr>
      <w:r>
        <w:t xml:space="preserve">Monthly industry talks featuring KOC and NOC chemical engineering leaders at Kuwait City campuses</w:t>
      </w:r>
    </w:p>
    <w:p>
      <w:pPr>
        <w:numPr>
          <w:ilvl w:val="0"/>
          <w:numId w:val="1003"/>
        </w:numPr>
        <w:pStyle w:val="Compact"/>
      </w:pPr>
      <w:r>
        <w:t xml:space="preserve">A digital "Skills Gap Dashboard" updated quarterly showing emerging needs (e.g., biorefining, carbon capture)</w:t>
      </w:r>
    </w:p>
    <w:bookmarkEnd w:id="25"/>
    <w:bookmarkEnd w:id="26"/>
    <w:bookmarkStart w:id="27" w:name="implementation-timeline-12-month-rollout"/>
    <w:p>
      <w:pPr>
        <w:pStyle w:val="Heading2"/>
      </w:pPr>
      <w:r>
        <w:t xml:space="preserve">Implementation Timeline: 12-Month Rollout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Foundation Building</w:t>
      </w:r>
    </w:p>
    <w:p>
      <w:pPr>
        <w:pStyle w:val="BodyText"/>
      </w:pPr>
      <w:r>
        <w:t xml:space="preserve">1-3</w:t>
      </w:r>
    </w:p>
    <w:p>
      <w:pPr>
        <w:pStyle w:val="BodyText"/>
      </w:pPr>
      <w:r>
        <w:t xml:space="preserve">- Establish Consortium with 5+ major employers</w:t>
      </w:r>
      <w:r>
        <w:br/>
      </w:r>
      <w:r>
        <w:t xml:space="preserve">- Launch digital content hub (kuwaitengineers.com)</w:t>
      </w:r>
      <w:r>
        <w:br/>
      </w:r>
      <w:r>
        <w:t xml:space="preserve">- Recruit first 20 cultural integration mentors</w:t>
      </w:r>
    </w:p>
    <w:p>
      <w:pPr>
        <w:pStyle w:val="BodyText"/>
      </w:pPr>
      <w:r>
        <w:t xml:space="preserve">Talent Attraction Surge</w:t>
      </w:r>
    </w:p>
    <w:p>
      <w:pPr>
        <w:pStyle w:val="BodyText"/>
      </w:pPr>
      <w:r>
        <w:t xml:space="preserve">4-7</w:t>
      </w:r>
    </w:p>
    <w:p>
      <w:pPr>
        <w:pStyle w:val="BodyText"/>
      </w:pPr>
      <w:r>
        <w:t xml:space="preserve">- Global LinkedIn campaign targeting 50K chemical engineers</w:t>
      </w:r>
      <w:r>
        <w:br/>
      </w:r>
      <w:r>
        <w:t xml:space="preserve">- Host first Chemical Engineering Summit (1,500+ attendees)</w:t>
      </w:r>
      <w:r>
        <w:br/>
      </w:r>
      <w:r>
        <w:t xml:space="preserve">- Begin university co-developed certification programs</w:t>
      </w:r>
    </w:p>
    <w:p>
      <w:pPr>
        <w:pStyle w:val="BodyText"/>
      </w:pPr>
      <w:r>
        <w:t xml:space="preserve">Sustainability &amp; Growth</w:t>
      </w:r>
    </w:p>
    <w:p>
      <w:pPr>
        <w:pStyle w:val="BodyText"/>
      </w:pPr>
      <w:r>
        <w:t xml:space="preserve">8-12</w:t>
      </w:r>
    </w:p>
    <w:p>
      <w:pPr>
        <w:pStyle w:val="BodyText"/>
      </w:pPr>
      <w:r>
        <w:t xml:space="preserve">Expand to 3 new universities in Kuwait City</w:t>
      </w:r>
      <w:r>
        <w:br/>
      </w:r>
      <w:r>
        <w:t xml:space="preserve">- Launch "Green Chemistry" scholarship fund</w:t>
      </w:r>
      <w:r>
        <w:br/>
      </w:r>
      <w:r>
        <w:t xml:space="preserve">- Publish first Skills Gap Report for industry adoption</w:t>
      </w:r>
    </w:p>
    <w:bookmarkEnd w:id="27"/>
    <w:bookmarkStart w:id="28" w:name="budget-allocation-strategic-investment"/>
    <w:p>
      <w:pPr>
        <w:pStyle w:val="Heading2"/>
      </w:pPr>
      <w:r>
        <w:t xml:space="preserve">Budget Allocation: Strategic Investment</w:t>
      </w:r>
    </w:p>
    <w:p>
      <w:pPr>
        <w:pStyle w:val="FirstParagraph"/>
      </w:pPr>
      <w:r>
        <w:t xml:space="preserve">Total Budget: $1.85 million USD (allocated across 12 months)</w:t>
      </w:r>
    </w:p>
    <w:p>
      <w:pPr>
        <w:numPr>
          <w:ilvl w:val="0"/>
          <w:numId w:val="1004"/>
        </w:numPr>
        <w:pStyle w:val="Compact"/>
      </w:pPr>
      <w:r>
        <w:t xml:space="preserve">Content Creation &amp; Digital Marketing: $470,000 (25%) – Including video production, multilingual content, and targeted ads</w:t>
      </w:r>
    </w:p>
    <w:p>
      <w:pPr>
        <w:numPr>
          <w:ilvl w:val="0"/>
          <w:numId w:val="1004"/>
        </w:numPr>
        <w:pStyle w:val="Compact"/>
      </w:pPr>
      <w:r>
        <w:t xml:space="preserve">Event Development (Summit &amp; Workshops): $685,000 (37%) – Venue, speakers, promotional materials</w:t>
      </w:r>
    </w:p>
    <w:p>
      <w:pPr>
        <w:numPr>
          <w:ilvl w:val="0"/>
          <w:numId w:val="1004"/>
        </w:numPr>
        <w:pStyle w:val="Compact"/>
      </w:pPr>
      <w:r>
        <w:t xml:space="preserve">Academic Partnerships &amp; Curriculum Development: $425,000 (23%) – Consortium funding and program development</w:t>
      </w:r>
    </w:p>
    <w:p>
      <w:pPr>
        <w:numPr>
          <w:ilvl w:val="0"/>
          <w:numId w:val="1004"/>
        </w:numPr>
        <w:pStyle w:val="Compact"/>
      </w:pPr>
      <w:r>
        <w:t xml:space="preserve">Cultural Integration Programs: $175,000 (9.5%) – Welcome kits, language training subsidies</w:t>
      </w:r>
    </w:p>
    <w:p>
      <w:pPr>
        <w:numPr>
          <w:ilvl w:val="0"/>
          <w:numId w:val="1004"/>
        </w:numPr>
        <w:pStyle w:val="Compact"/>
      </w:pPr>
      <w:r>
        <w:t xml:space="preserve">Evaluation &amp; Analytics: $195,000 (11%) – ROI tracking and market adjustment systems</w:t>
      </w:r>
    </w:p>
    <w:bookmarkEnd w:id="28"/>
    <w:bookmarkStart w:id="29" w:name="evaluation-metrics-for-success"/>
    <w:p>
      <w:pPr>
        <w:pStyle w:val="Heading2"/>
      </w:pPr>
      <w:r>
        <w:t xml:space="preserve">Evaluation Metrics for Success</w:t>
      </w:r>
    </w:p>
    <w:p>
      <w:pPr>
        <w:pStyle w:val="FirstParagraph"/>
      </w:pPr>
      <w:r>
        <w:t xml:space="preserve">Key performance indicators will measure success across three dimensions: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New Chemical Engineers Attracted to Kuwait City</w:t>
            </w:r>
          </w:p>
        </w:tc>
        <w:tc>
          <w:tcPr/>
          <w:p>
            <w:pPr>
              <w:pStyle w:val="Compact"/>
              <w:jc w:val="left"/>
            </w:pPr>
            <w:r>
              <w:t xml:space="preserve">2,100+</w:t>
            </w:r>
          </w:p>
        </w:tc>
        <w:tc>
          <w:tcPr/>
          <w:p>
            <w:pPr>
              <w:pStyle w:val="Compact"/>
              <w:jc w:val="left"/>
            </w:pPr>
            <w:r>
              <w:t xml:space="preserve">Digital campaign analytics + employer verification</w:t>
            </w:r>
          </w:p>
        </w:tc>
      </w:tr>
      <w:tr>
        <w:tc>
          <w:tcPr/>
          <w:p>
            <w:pPr>
              <w:pStyle w:val="Compact"/>
              <w:jc w:val="left"/>
            </w:pPr>
            <w:r>
              <w:t xml:space="preserve">Talent Retention Rate</w:t>
            </w:r>
          </w:p>
        </w:tc>
        <w:tc>
          <w:tcPr/>
          <w:p>
            <w:pPr>
              <w:pStyle w:val="Compact"/>
              <w:jc w:val="left"/>
            </w:pPr>
            <w:r>
              <w:t xml:space="preserve">85%+ at 18 months</w:t>
            </w:r>
          </w:p>
        </w:tc>
        <w:tc>
          <w:tcPr/>
          <w:p>
            <w:pPr>
              <w:pStyle w:val="Compact"/>
              <w:jc w:val="left"/>
            </w:pPr>
            <w:r>
              <w:t xml:space="preserve">Employer surveys &amp; visa status tracking</w:t>
            </w:r>
          </w:p>
        </w:tc>
      </w:tr>
      <w:tr>
        <w:tc>
          <w:tcPr/>
          <w:p>
            <w:pPr>
              <w:pStyle w:val="Compact"/>
              <w:jc w:val="left"/>
            </w:pPr>
            <w:r>
              <w:t xml:space="preserve">Cultural Integration Score</w:t>
            </w:r>
          </w:p>
        </w:tc>
        <w:tc>
          <w:tcPr/>
          <w:p>
            <w:pPr>
              <w:pStyle w:val="Compact"/>
              <w:jc w:val="left"/>
            </w:pPr>
            <w:r>
              <w:t xml:space="preserve">4.2/5 (on employer satisfaction scale)</w:t>
            </w:r>
          </w:p>
        </w:tc>
        <w:tc>
          <w:tcPr/>
          <w:p>
            <w:pPr>
              <w:pStyle w:val="Compact"/>
              <w:jc w:val="left"/>
            </w:pPr>
            <w:r>
              <w:t xml:space="preserve">Post-assignment surveys with Chemical Engineers</w:t>
            </w:r>
          </w:p>
        </w:tc>
      </w:tr>
      <w:tr>
        <w:tc>
          <w:tcPr/>
          <w:p>
            <w:pPr>
              <w:pStyle w:val="Compact"/>
              <w:jc w:val="left"/>
            </w:pPr>
            <w:r>
              <w:t xml:space="preserve">Industry Partnership Growth</w:t>
            </w:r>
          </w:p>
        </w:tc>
        <w:tc>
          <w:tcPr/>
          <w:p>
            <w:pPr>
              <w:pStyle w:val="Compact"/>
              <w:jc w:val="left"/>
            </w:pPr>
            <w:r>
              <w:t xml:space="preserve">+18 major firms in Consortium</w:t>
            </w:r>
          </w:p>
        </w:tc>
        <w:tc>
          <w:tcPr/>
          <w:p>
            <w:pPr>
              <w:pStyle w:val="Compact"/>
              <w:jc w:val="left"/>
            </w:pPr>
            <w:r>
              <w:t xml:space="preserve">Dedicated partnership management system</w:t>
            </w:r>
          </w:p>
        </w:tc>
      </w:tr>
    </w:tbl>
    <w:bookmarkEnd w:id="29"/>
    <w:bookmarkStart w:id="30" w:name="X8b3842956d7e1359249d36bdecc4e586c6f8ea9"/>
    <w:p>
      <w:pPr>
        <w:pStyle w:val="Heading2"/>
      </w:pPr>
      <w:r>
        <w:t xml:space="preserve">Conclusion: Securing Kuwait City's Engineering Future</w:t>
      </w:r>
    </w:p>
    <w:p>
      <w:pPr>
        <w:pStyle w:val="FirstParagraph"/>
      </w:pPr>
      <w:r>
        <w:t xml:space="preserve">This Marketing Plan delivers a transformative approach to positioning Kuwait City as the undisputed destination for Chemical Engineers seeking meaningful career impact. By strategically addressing talent acquisition challenges while aligning with Kuwait National Vision 2035, this initiative ensures Chemical Engineers become catalysts for economic diversification beyond traditional oil sectors. The plan's success will be measured not just in numbers of professionals recruited, but in their long-term contribution to sustainable industrial innovation within Kuwait City – creating a virtuous cycle where world-class chemical engineering expertise directly elevates national competitiveness. As the first comprehensive Marketing Plan specifically designed for Chemical Engineers in Kuwait City, this strategy establishes a benchmark for talent development across the Gulf region, turning Kuwait into a magnet for engineering excellence that will define the future of chemical industries in our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Kuwait City</dc:title>
  <dc:creator/>
  <dc:language>en</dc:language>
  <cp:keywords/>
  <dcterms:created xsi:type="dcterms:W3CDTF">2025-12-13T06:36:29Z</dcterms:created>
  <dcterms:modified xsi:type="dcterms:W3CDTF">2025-12-13T06:36:29Z</dcterms:modified>
</cp:coreProperties>
</file>

<file path=docProps/custom.xml><?xml version="1.0" encoding="utf-8"?>
<Properties xmlns="http://schemas.openxmlformats.org/officeDocument/2006/custom-properties" xmlns:vt="http://schemas.openxmlformats.org/officeDocument/2006/docPropsVTypes"/>
</file>