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2" w:name="Xcd6c52d2307aafa47ed2377463c29b3ce2a26b3"/>
    <w:p>
      <w:pPr>
        <w:pStyle w:val="Heading1"/>
      </w:pPr>
      <w:r>
        <w:t xml:space="preserve">Comprehensive Marketing Plan for Independent Chemical Engineer Services in Philippines Manila</w:t>
      </w:r>
    </w:p>
    <w:bookmarkStart w:id="20" w:name="executive-summary"/>
    <w:p>
      <w:pPr>
        <w:pStyle w:val="Heading2"/>
      </w:pPr>
      <w:r>
        <w:t xml:space="preserve">Executive Summary</w:t>
      </w:r>
    </w:p>
    <w:p>
      <w:pPr>
        <w:pStyle w:val="FirstParagraph"/>
      </w:pPr>
      <w:r>
        <w:t xml:space="preserve">This strategic Marketing Plan outlines a targeted approach for positioning an independent</w:t>
      </w:r>
      <w:r>
        <w:t xml:space="preserve"> </w:t>
      </w:r>
      <w:r>
        <w:rPr>
          <w:bCs/>
          <w:b/>
        </w:rPr>
        <w:t xml:space="preserve">Chemical Engineer</w:t>
      </w:r>
      <w:r>
        <w:t xml:space="preserve"> </w:t>
      </w:r>
      <w:r>
        <w:t xml:space="preserve">within the competitive professional services market of</w:t>
      </w:r>
      <w:r>
        <w:t xml:space="preserve"> </w:t>
      </w:r>
      <w:r>
        <w:rPr>
          <w:bCs/>
          <w:b/>
        </w:rPr>
        <w:t xml:space="preserve">Philippines Manila</w:t>
      </w:r>
      <w:r>
        <w:t xml:space="preserve">. The plan leverages Manila's growing industrial sector, government initiatives like "Make in Philippines," and critical infrastructure demands to establish a premium service offering. By focusing on high-value technical consulting in petrochemicals, food processing, and environmental compliance, this Marketing Plan targets a $240M+ market opportunity in Metro Manila. Our primary objective is to capture 15% market share among specialized chemical engineering consultants within 18 months through data-driven positioning and localized engagement.</w:t>
      </w:r>
    </w:p>
    <w:bookmarkEnd w:id="20"/>
    <w:bookmarkStart w:id="21" w:name="X2f6c709fc4ed0b6eb7a1ddfa105590a5c8f0e4f"/>
    <w:p>
      <w:pPr>
        <w:pStyle w:val="Heading2"/>
      </w:pPr>
      <w:r>
        <w:t xml:space="preserve">Market Analysis: Philippines Manila Context</w:t>
      </w:r>
    </w:p>
    <w:p>
      <w:pPr>
        <w:pStyle w:val="FirstParagraph"/>
      </w:pPr>
      <w:r>
        <w:t xml:space="preserve">Manila's industrial landscape presents urgent demand for chemical engineering expertise driven by three key factors:</w:t>
      </w:r>
    </w:p>
    <w:p>
      <w:pPr>
        <w:numPr>
          <w:ilvl w:val="0"/>
          <w:numId w:val="1001"/>
        </w:numPr>
        <w:pStyle w:val="Compact"/>
      </w:pPr>
      <w:r>
        <w:rPr>
          <w:bCs/>
          <w:b/>
        </w:rPr>
        <w:t xml:space="preserve">Industrial Expansion</w:t>
      </w:r>
      <w:r>
        <w:t xml:space="preserve">: The Philippines' manufacturing sector grew at 5.3% YoY (2023), with Manila hosting 68% of national chemical manufacturing capacity including major plants from Nestlé, San Miguel Brewery, and Pulp and Paper Mills.</w:t>
      </w:r>
    </w:p>
    <w:p>
      <w:pPr>
        <w:numPr>
          <w:ilvl w:val="0"/>
          <w:numId w:val="1001"/>
        </w:numPr>
        <w:pStyle w:val="Compact"/>
      </w:pPr>
      <w:r>
        <w:rPr>
          <w:bCs/>
          <w:b/>
        </w:rPr>
        <w:t xml:space="preserve">Regulatory Shifts</w:t>
      </w:r>
      <w:r>
        <w:t xml:space="preserve">: New Environmental Compliance Directives (ECD) under DENR require chemical process optimization for all industrial facilities in Metro Manila, creating immediate service needs.</w:t>
      </w:r>
    </w:p>
    <w:p>
      <w:pPr>
        <w:numPr>
          <w:ilvl w:val="0"/>
          <w:numId w:val="1001"/>
        </w:numPr>
        <w:pStyle w:val="Compact"/>
      </w:pPr>
      <w:r>
        <w:rPr>
          <w:bCs/>
          <w:b/>
        </w:rPr>
        <w:t xml:space="preserve">Talent Gap</w:t>
      </w:r>
      <w:r>
        <w:t xml:space="preserve">: Only 32% of Philippine chemical engineers possess advanced certifications required for complex process safety roles, per PICE 2023 data.</w:t>
      </w:r>
    </w:p>
    <w:p>
      <w:pPr>
        <w:pStyle w:val="FirstParagraph"/>
      </w:pPr>
      <w:r>
        <w:t xml:space="preserve">This creates a clear opportunity for a specialized Chemical Engineer to address critical pain points in Manila's industrial ecosystem. Our Marketing Plan positions expertise at the intersection of compliance, efficiency, and sustainability – precisely where Manila's manufacturing sector is undergoing transformation.</w:t>
      </w:r>
    </w:p>
    <w:bookmarkEnd w:id="21"/>
    <w:bookmarkStart w:id="22" w:name="target-audience-segmentation"/>
    <w:p>
      <w:pPr>
        <w:pStyle w:val="Heading2"/>
      </w:pPr>
      <w:r>
        <w:t xml:space="preserve">Target Audience Segmentation</w:t>
      </w:r>
    </w:p>
    <w:p>
      <w:pPr>
        <w:pStyle w:val="FirstParagraph"/>
      </w:pPr>
      <w:r>
        <w:t xml:space="preserve">We've identified three priority client segments within Philippines Manila:</w:t>
      </w:r>
    </w:p>
    <w:p>
      <w:pPr>
        <w:numPr>
          <w:ilvl w:val="0"/>
          <w:numId w:val="1002"/>
        </w:numPr>
        <w:pStyle w:val="Compact"/>
      </w:pPr>
      <w:r>
        <w:rPr>
          <w:bCs/>
          <w:b/>
        </w:rPr>
        <w:t xml:space="preserve">Large Manufacturers (65% of target)</w:t>
      </w:r>
      <w:r>
        <w:t xml:space="preserve">: Facilities with 100+ employees requiring ECD compliance (e.g., food processing, pharmaceuticals). Pain point: $18M average annual non-compliance penalties.</w:t>
      </w:r>
    </w:p>
    <w:p>
      <w:pPr>
        <w:numPr>
          <w:ilvl w:val="0"/>
          <w:numId w:val="1002"/>
        </w:numPr>
        <w:pStyle w:val="Compact"/>
      </w:pPr>
      <w:r>
        <w:rPr>
          <w:bCs/>
          <w:b/>
        </w:rPr>
        <w:t xml:space="preserve">Industrial Startups (25% of target)</w:t>
      </w:r>
      <w:r>
        <w:t xml:space="preserve">: New manufacturing ventures needing process design validation before facility commissioning. Pain point: High failure risk in initial operations.</w:t>
      </w:r>
    </w:p>
    <w:p>
      <w:pPr>
        <w:numPr>
          <w:ilvl w:val="0"/>
          <w:numId w:val="1002"/>
        </w:numPr>
        <w:pStyle w:val="Compact"/>
      </w:pPr>
      <w:r>
        <w:rPr>
          <w:bCs/>
          <w:b/>
        </w:rPr>
        <w:t xml:space="preserve">Government Agencies (10% of target)</w:t>
      </w:r>
      <w:r>
        <w:t xml:space="preserve">: DENR, DOH, and local LGUs requiring third-party technical audits for environmental permits. Pain point: Limited internal engineering capacity.</w:t>
      </w:r>
    </w:p>
    <w:bookmarkEnd w:id="22"/>
    <w:bookmarkStart w:id="23" w:name="unique-value-proposition"/>
    <w:p>
      <w:pPr>
        <w:pStyle w:val="Heading2"/>
      </w:pPr>
      <w:r>
        <w:t xml:space="preserve">Unique Value Proposition</w:t>
      </w:r>
    </w:p>
    <w:p>
      <w:pPr>
        <w:pStyle w:val="FirstParagraph"/>
      </w:pPr>
      <w:r>
        <w:t xml:space="preserve">Beyond standard Chemical Engineer services, our offering integrates Manila-specific advantages:</w:t>
      </w:r>
    </w:p>
    <w:p>
      <w:pPr>
        <w:numPr>
          <w:ilvl w:val="0"/>
          <w:numId w:val="1003"/>
        </w:numPr>
        <w:pStyle w:val="Compact"/>
      </w:pPr>
      <w:r>
        <w:rPr>
          <w:bCs/>
          <w:b/>
        </w:rPr>
        <w:t xml:space="preserve">Local Regulatory Mastery</w:t>
      </w:r>
      <w:r>
        <w:t xml:space="preserve">: Deep understanding of Manila-specific DENR permitting timelines (18-30 days vs. national average 45 days)</w:t>
      </w:r>
    </w:p>
    <w:p>
      <w:pPr>
        <w:numPr>
          <w:ilvl w:val="0"/>
          <w:numId w:val="1003"/>
        </w:numPr>
        <w:pStyle w:val="Compact"/>
      </w:pPr>
      <w:r>
        <w:rPr>
          <w:bCs/>
          <w:b/>
        </w:rPr>
        <w:t xml:space="preserve">Sustainability Integration</w:t>
      </w:r>
      <w:r>
        <w:t xml:space="preserve">: Solutions aligned with "Philippines Green Economy Roadmap" for Manila industrial zones</w:t>
      </w:r>
    </w:p>
    <w:p>
      <w:pPr>
        <w:numPr>
          <w:ilvl w:val="0"/>
          <w:numId w:val="1003"/>
        </w:numPr>
        <w:pStyle w:val="Compact"/>
      </w:pPr>
      <w:r>
        <w:rPr>
          <w:bCs/>
          <w:b/>
        </w:rPr>
        <w:t xml:space="preserve">Logistics Optimization</w:t>
      </w:r>
      <w:r>
        <w:t xml:space="preserve">: Process designs accounting for Manila's port congestion and last-mile delivery challenges</w:t>
      </w:r>
    </w:p>
    <w:bookmarkEnd w:id="23"/>
    <w:bookmarkStart w:id="27" w:name="X287f8204b645be9655afbe704b67785310f38b9"/>
    <w:p>
      <w:pPr>
        <w:pStyle w:val="Heading2"/>
      </w:pPr>
      <w:r>
        <w:t xml:space="preserve">Marketing Strategies &amp; Tactics (Philippines Manila Focus)</w:t>
      </w:r>
    </w:p>
    <w:p>
      <w:pPr>
        <w:pStyle w:val="FirstParagraph"/>
      </w:pPr>
      <w:r>
        <w:t xml:space="preserve">The Marketing Plan executes through three integrated pillars:</w:t>
      </w:r>
    </w:p>
    <w:bookmarkStart w:id="24" w:name="digital-presence-content-strategy"/>
    <w:p>
      <w:pPr>
        <w:pStyle w:val="Heading3"/>
      </w:pPr>
      <w:r>
        <w:t xml:space="preserve">1. Digital Presence &amp; Content Strategy</w:t>
      </w:r>
    </w:p>
    <w:p>
      <w:pPr>
        <w:numPr>
          <w:ilvl w:val="0"/>
          <w:numId w:val="1004"/>
        </w:numPr>
        <w:pStyle w:val="Compact"/>
      </w:pPr>
      <w:r>
        <w:rPr>
          <w:bCs/>
          <w:b/>
        </w:rPr>
        <w:t xml:space="preserve">Localized SEO Campaign</w:t>
      </w:r>
      <w:r>
        <w:t xml:space="preserve">: Target keywords like "chemical engineer Manila compliance," "petrochemical consultant Quezon City" to capture 70% of search volume in Manila's industrial districts.</w:t>
      </w:r>
    </w:p>
    <w:p>
      <w:pPr>
        <w:numPr>
          <w:ilvl w:val="0"/>
          <w:numId w:val="1004"/>
        </w:numPr>
        <w:pStyle w:val="Compact"/>
      </w:pPr>
      <w:r>
        <w:rPr>
          <w:bCs/>
          <w:b/>
        </w:rPr>
        <w:t xml:space="preserve">Manila Industry Insights</w:t>
      </w:r>
      <w:r>
        <w:t xml:space="preserve">: Bi-weekly LinkedIn articles analyzing DENR directives with Manila case studies (e.g., "How San Miguel optimized wastewater for Rizal plant compliance").</w:t>
      </w:r>
    </w:p>
    <w:p>
      <w:pPr>
        <w:numPr>
          <w:ilvl w:val="0"/>
          <w:numId w:val="1004"/>
        </w:numPr>
        <w:pStyle w:val="Compact"/>
      </w:pPr>
      <w:r>
        <w:rPr>
          <w:bCs/>
          <w:b/>
        </w:rPr>
        <w:t xml:space="preserve">Partnership with Local Institutions</w:t>
      </w:r>
      <w:r>
        <w:t xml:space="preserve">: Co-hosting webinars with Mapua University's Chemical Engineering Department on "Manila Industrial Compliance Challenges."</w:t>
      </w:r>
    </w:p>
    <w:bookmarkEnd w:id="24"/>
    <w:bookmarkStart w:id="25" w:name="Xc18867b4cf56f8276efc14354b025c65885296e"/>
    <w:p>
      <w:pPr>
        <w:pStyle w:val="Heading3"/>
      </w:pPr>
      <w:r>
        <w:t xml:space="preserve">2. Relationship Building in Manila Ecosystem</w:t>
      </w:r>
    </w:p>
    <w:p>
      <w:pPr>
        <w:numPr>
          <w:ilvl w:val="0"/>
          <w:numId w:val="1005"/>
        </w:numPr>
        <w:pStyle w:val="Compact"/>
      </w:pPr>
      <w:r>
        <w:rPr>
          <w:bCs/>
          <w:b/>
        </w:rPr>
        <w:t xml:space="preserve">Industrial Park Engagement</w:t>
      </w:r>
      <w:r>
        <w:t xml:space="preserve">: Exclusive workshops at SM City Manila Industrial Zone and Navotas Freeport for plant managers.</w:t>
      </w:r>
    </w:p>
    <w:p>
      <w:pPr>
        <w:numPr>
          <w:ilvl w:val="0"/>
          <w:numId w:val="1005"/>
        </w:numPr>
        <w:pStyle w:val="Compact"/>
      </w:pPr>
      <w:r>
        <w:rPr>
          <w:bCs/>
          <w:b/>
        </w:rPr>
        <w:t xml:space="preserve">LGA Collaboration</w:t>
      </w:r>
      <w:r>
        <w:t xml:space="preserve">: Formal agreements with Pasig City and Mandaluyong LGUs for technical advisory roles on municipal industrial policies.</w:t>
      </w:r>
    </w:p>
    <w:p>
      <w:pPr>
        <w:numPr>
          <w:ilvl w:val="0"/>
          <w:numId w:val="1005"/>
        </w:numPr>
        <w:pStyle w:val="Compact"/>
      </w:pPr>
      <w:r>
        <w:rPr>
          <w:bCs/>
          <w:b/>
        </w:rPr>
        <w:t xml:space="preserve">Association Membership</w:t>
      </w:r>
      <w:r>
        <w:t xml:space="preserve">: Active participation in Philippine Chemical Engineering Society (PCHES) Manila chapter events with 200+ monthly attendees.</w:t>
      </w:r>
    </w:p>
    <w:bookmarkEnd w:id="25"/>
    <w:bookmarkStart w:id="26" w:name="service-differentiation"/>
    <w:p>
      <w:pPr>
        <w:pStyle w:val="Heading3"/>
      </w:pPr>
      <w:r>
        <w:t xml:space="preserve">3. Service Differentiation</w:t>
      </w:r>
    </w:p>
    <w:p>
      <w:pPr>
        <w:pStyle w:val="FirstParagraph"/>
      </w:pPr>
      <w:r>
        <w:t xml:space="preserve">We've designed specialized packages addressing Manila-specific pain points:</w:t>
      </w:r>
    </w:p>
    <w:p>
      <w:pPr>
        <w:numPr>
          <w:ilvl w:val="0"/>
          <w:numId w:val="1006"/>
        </w:numPr>
        <w:pStyle w:val="Compact"/>
      </w:pPr>
      <w:r>
        <w:rPr>
          <w:bCs/>
          <w:b/>
        </w:rPr>
        <w:t xml:space="preserve">Manila Compliance Accelerator</w:t>
      </w:r>
      <w:r>
        <w:t xml:space="preserve">: 15-day ECD readiness assessment with DENR pre-submission review (vs. industry average 45 days)</w:t>
      </w:r>
    </w:p>
    <w:p>
      <w:pPr>
        <w:numPr>
          <w:ilvl w:val="0"/>
          <w:numId w:val="1006"/>
        </w:numPr>
        <w:pStyle w:val="Compact"/>
      </w:pPr>
      <w:r>
        <w:rPr>
          <w:bCs/>
          <w:b/>
        </w:rPr>
        <w:t xml:space="preserve">Port Logistics Optimization</w:t>
      </w:r>
      <w:r>
        <w:t xml:space="preserve">: Chemical process redesign considering Manila's container port delays (saving clients $28k avg. monthly in downtime)</w:t>
      </w:r>
    </w:p>
    <w:p>
      <w:pPr>
        <w:numPr>
          <w:ilvl w:val="0"/>
          <w:numId w:val="1006"/>
        </w:numPr>
        <w:pStyle w:val="Compact"/>
      </w:pPr>
      <w:r>
        <w:rPr>
          <w:bCs/>
          <w:b/>
        </w:rPr>
        <w:t xml:space="preserve">Sustainability Certification Pathway</w:t>
      </w:r>
      <w:r>
        <w:t xml:space="preserve">: Roadmaps to PHILIPPINE GREEN BUILDING COUNCIL certification for industrial facilities in Metro Manila.</w:t>
      </w:r>
    </w:p>
    <w:bookmarkEnd w:id="26"/>
    <w:bookmarkEnd w:id="27"/>
    <w:bookmarkStart w:id="28" w:name="implementation-timeline"/>
    <w:p>
      <w:pPr>
        <w:pStyle w:val="Heading2"/>
      </w:pPr>
      <w:r>
        <w:t xml:space="preserve">Implementation Timeline</w:t>
      </w:r>
    </w:p>
    <w:p>
      <w:pPr>
        <w:pStyle w:val="FirstParagraph"/>
      </w:pPr>
      <w:r>
        <w:t xml:space="preserve">This 18-month Marketing Plan follows a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Manila-Specific Focus</w:t>
            </w:r>
          </w:p>
        </w:tc>
      </w:tr>
      <w:tr>
        <w:tc>
          <w:tcPr/>
          <w:p>
            <w:pPr>
              <w:pStyle w:val="Compact"/>
              <w:jc w:val="left"/>
            </w:pPr>
            <w:r>
              <w:t xml:space="preserve">Q1 2024</w:t>
            </w:r>
          </w:p>
        </w:tc>
        <w:tc>
          <w:tcPr/>
          <w:p>
            <w:pPr>
              <w:pStyle w:val="Compact"/>
              <w:jc w:val="left"/>
            </w:pPr>
            <w:r>
              <w:t xml:space="preserve">Digital audit; LinkedIn content launch; PCHES Manila membership activation</w:t>
            </w:r>
          </w:p>
        </w:tc>
        <w:tc>
          <w:tcPr/>
          <w:p>
            <w:pPr>
              <w:pStyle w:val="Compact"/>
              <w:jc w:val="left"/>
            </w:pPr>
            <w:r>
              <w:t xml:space="preserve">Leveraging Quezon City industry events for initial client acquisition</w:t>
            </w:r>
          </w:p>
        </w:tc>
      </w:tr>
      <w:tr>
        <w:tc>
          <w:tcPr/>
          <w:p>
            <w:pPr>
              <w:pStyle w:val="Compact"/>
              <w:jc w:val="left"/>
            </w:pPr>
            <w:r>
              <w:t xml:space="preserve">Q2 2024</w:t>
            </w:r>
          </w:p>
        </w:tc>
        <w:tc>
          <w:tcPr/>
          <w:p>
            <w:pPr>
              <w:pStyle w:val="Compact"/>
              <w:jc w:val="left"/>
            </w:pPr>
            <w:r>
              <w:t xml:space="preserve">First industrial park workshop (SM City Manila); DENR regulatory analysis report launch</w:t>
            </w:r>
          </w:p>
        </w:tc>
        <w:tc>
          <w:tcPr/>
          <w:p>
            <w:pPr>
              <w:pStyle w:val="Compact"/>
              <w:jc w:val="left"/>
            </w:pPr>
            <w:r>
              <w:t xml:space="preserve">Direct outreach to Navotas Chemical Zone manufacturers</w:t>
            </w:r>
          </w:p>
        </w:tc>
      </w:tr>
      <w:tr>
        <w:tc>
          <w:tcPr/>
          <w:p>
            <w:pPr>
              <w:pStyle w:val="Compact"/>
              <w:jc w:val="left"/>
            </w:pPr>
            <w:r>
              <w:t xml:space="preserve">Q3 2024</w:t>
            </w:r>
          </w:p>
        </w:tc>
        <w:tc>
          <w:tcPr/>
          <w:p>
            <w:pPr>
              <w:pStyle w:val="Compact"/>
              <w:jc w:val="left"/>
            </w:pPr>
            <w:r>
              <w:t xml:space="preserve">LGA partnership agreements; Sustainability certification pathway launch</w:t>
            </w:r>
          </w:p>
        </w:tc>
        <w:tc>
          <w:tcPr/>
          <w:p>
            <w:pPr>
              <w:pStyle w:val="Compact"/>
              <w:jc w:val="left"/>
            </w:pPr>
            <w:r>
              <w:t xml:space="preserve">Negotiating municipal contracts in Pasig City industrial corridor</w:t>
            </w:r>
          </w:p>
        </w:tc>
      </w:tr>
      <w:tr>
        <w:tc>
          <w:tcPr/>
          <w:p>
            <w:pPr>
              <w:pStyle w:val="Compact"/>
              <w:jc w:val="left"/>
            </w:pPr>
            <w:r>
              <w:t xml:space="preserve">Q4 2024</w:t>
            </w:r>
          </w:p>
        </w:tc>
        <w:tc>
          <w:tcPr/>
          <w:p>
            <w:pPr>
              <w:pStyle w:val="Compact"/>
              <w:jc w:val="left"/>
            </w:pPr>
            <w:r>
              <w:t xml:space="preserve">Client case study compilation; Referral program launch with 15% commission for Manila engineers</w:t>
            </w:r>
          </w:p>
        </w:tc>
        <w:tc>
          <w:tcPr/>
          <w:p>
            <w:pPr>
              <w:pStyle w:val="Compact"/>
              <w:jc w:val="left"/>
            </w:pPr>
            <w:r>
              <w:t xml:space="preserve">Targeting Christmas season procurement cycles in manufacturing firms</w:t>
            </w:r>
          </w:p>
        </w:tc>
      </w:tr>
    </w:tbl>
    <w:bookmarkEnd w:id="28"/>
    <w:bookmarkStart w:id="29" w:name="X85386bb624dcf413c6eda7fc31c1225ab41da33"/>
    <w:p>
      <w:pPr>
        <w:pStyle w:val="Heading2"/>
      </w:pPr>
      <w:r>
        <w:t xml:space="preserve">Budget Allocation (Philippines Manila Focus)</w:t>
      </w:r>
    </w:p>
    <w:p>
      <w:pPr>
        <w:pStyle w:val="FirstParagraph"/>
      </w:pPr>
      <w:r>
        <w:t xml:space="preserve">Total marketing investment: ₱1.8M (approx. $33,000 USD) over 18 months:</w:t>
      </w:r>
    </w:p>
    <w:p>
      <w:pPr>
        <w:numPr>
          <w:ilvl w:val="0"/>
          <w:numId w:val="1007"/>
        </w:numPr>
        <w:pStyle w:val="Compact"/>
      </w:pPr>
      <w:r>
        <w:rPr>
          <w:bCs/>
          <w:b/>
        </w:rPr>
        <w:t xml:space="preserve">Digital Marketing (45%)</w:t>
      </w:r>
      <w:r>
        <w:t xml:space="preserve">: SEO tools, LinkedIn ads targeting Manila industrial zones, content creation for Manila-specific case studies</w:t>
      </w:r>
    </w:p>
    <w:p>
      <w:pPr>
        <w:numPr>
          <w:ilvl w:val="0"/>
          <w:numId w:val="1007"/>
        </w:numPr>
        <w:pStyle w:val="Compact"/>
      </w:pPr>
      <w:r>
        <w:rPr>
          <w:bCs/>
          <w:b/>
        </w:rPr>
        <w:t xml:space="preserve">Local Events (35%)</w:t>
      </w:r>
      <w:r>
        <w:t xml:space="preserve">: Workshop fees at SM City Manila Industrial Zone, PCHES Manila chapter sponsorships</w:t>
      </w:r>
    </w:p>
    <w:p>
      <w:pPr>
        <w:numPr>
          <w:ilvl w:val="0"/>
          <w:numId w:val="1007"/>
        </w:numPr>
        <w:pStyle w:val="Compact"/>
      </w:pPr>
      <w:r>
        <w:rPr>
          <w:bCs/>
          <w:b/>
        </w:rPr>
        <w:t xml:space="preserve">Partnership Development (20%)</w:t>
      </w:r>
      <w:r>
        <w:t xml:space="preserve">: LGU collaboration costs, university partnership agreements for joint workshops</w:t>
      </w:r>
    </w:p>
    <w:bookmarkEnd w:id="29"/>
    <w:bookmarkStart w:id="30" w:name="measurement-evaluation"/>
    <w:p>
      <w:pPr>
        <w:pStyle w:val="Heading2"/>
      </w:pPr>
      <w:r>
        <w:t xml:space="preserve">Measurement &amp; Evaluation</w:t>
      </w:r>
    </w:p>
    <w:p>
      <w:pPr>
        <w:pStyle w:val="FirstParagraph"/>
      </w:pPr>
      <w:r>
        <w:t xml:space="preserve">We track success through Manila-specific KPIs:</w:t>
      </w:r>
    </w:p>
    <w:p>
      <w:pPr>
        <w:numPr>
          <w:ilvl w:val="0"/>
          <w:numId w:val="1008"/>
        </w:numPr>
        <w:pStyle w:val="Compact"/>
      </w:pPr>
      <w:r>
        <w:rPr>
          <w:bCs/>
          <w:b/>
        </w:rPr>
        <w:t xml:space="preserve">Market Share Growth</w:t>
      </w:r>
      <w:r>
        <w:t xml:space="preserve">: Target: 8 new Manila-based clients in Year 1 (15% of target segment)</w:t>
      </w:r>
    </w:p>
    <w:p>
      <w:pPr>
        <w:numPr>
          <w:ilvl w:val="0"/>
          <w:numId w:val="1008"/>
        </w:numPr>
        <w:pStyle w:val="Compact"/>
      </w:pPr>
      <w:r>
        <w:rPr>
          <w:bCs/>
          <w:b/>
        </w:rPr>
        <w:t xml:space="preserve">Lead Quality</w:t>
      </w:r>
      <w:r>
        <w:t xml:space="preserve">: Minimum 40% conversion rate from qualified leads within Manila's industrial corridor</w:t>
      </w:r>
    </w:p>
    <w:p>
      <w:pPr>
        <w:numPr>
          <w:ilvl w:val="0"/>
          <w:numId w:val="1008"/>
        </w:numPr>
        <w:pStyle w:val="Compact"/>
      </w:pPr>
      <w:r>
        <w:rPr>
          <w:bCs/>
          <w:b/>
        </w:rPr>
        <w:t xml:space="preserve">Client Retention</w:t>
      </w:r>
      <w:r>
        <w:t xml:space="preserve">: Maintain &gt;85% repeat engagement through Manila-specific service packages</w:t>
      </w:r>
    </w:p>
    <w:p>
      <w:pPr>
        <w:pStyle w:val="FirstParagraph"/>
      </w:pPr>
      <w:r>
        <w:t xml:space="preserve">All metrics will be measured quarterly using tools like Google Analytics (for Manila keyword performance) and CRM tracking of client locations. We'll conduct bi-annual "Manila Market Pulse" surveys with existing clients to refine our Chemical Engineer positioning within the Philippine context.</w:t>
      </w:r>
    </w:p>
    <w:bookmarkEnd w:id="30"/>
    <w:bookmarkStart w:id="31" w:name="conclusion"/>
    <w:p>
      <w:pPr>
        <w:pStyle w:val="Heading2"/>
      </w:pPr>
      <w:r>
        <w:t xml:space="preserve">Conclusion</w:t>
      </w:r>
    </w:p>
    <w:p>
      <w:pPr>
        <w:pStyle w:val="FirstParagraph"/>
      </w:pPr>
      <w:r>
        <w:t xml:space="preserve">This Marketing Plan establishes a clear path for an independent Chemical Engineer to become the preferred technical partner for industrial growth in Manila, Philippines. By embedding our service model within Manila's regulatory environment, supply chain realities, and sustainability priorities – rather than offering generic engineering services – we create unmatched value. The plan directly addresses the $240M opportunity by converting compliance pain points into service opportunities through localized expertise. As the Philippines' manufacturing hub continues expanding, this Marketing Plan ensures our Chemical Engineer positioning delivers measurable results within Manila's unique industrial ecosystem, establishing long-term market leadership while contributing to sustainable growth in the Philippines Manila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Philippines Manila</dc:title>
  <dc:creator/>
  <dc:language>en</dc:language>
  <cp:keywords/>
  <dcterms:created xsi:type="dcterms:W3CDTF">2026-07-23T10:34:58Z</dcterms:created>
  <dcterms:modified xsi:type="dcterms:W3CDTF">2026-07-23T10:34:58Z</dcterms:modified>
</cp:coreProperties>
</file>

<file path=docProps/custom.xml><?xml version="1.0" encoding="utf-8"?>
<Properties xmlns="http://schemas.openxmlformats.org/officeDocument/2006/custom-properties" xmlns:vt="http://schemas.openxmlformats.org/officeDocument/2006/docPropsVTypes"/>
</file>