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w:t>
      </w:r>
      <w:r>
        <w:t xml:space="preserve"> </w:t>
      </w:r>
      <w:r>
        <w:t xml:space="preserve">Talent</w:t>
      </w:r>
      <w:r>
        <w:t xml:space="preserve"> </w:t>
      </w:r>
      <w:r>
        <w:t xml:space="preserve">in</w:t>
      </w:r>
      <w:r>
        <w:t xml:space="preserve"> </w:t>
      </w:r>
      <w:r>
        <w:t xml:space="preserve">Russia</w:t>
      </w:r>
      <w:r>
        <w:t xml:space="preserve"> </w:t>
      </w:r>
      <w:r>
        <w:t xml:space="preserve">Moscow</w:t>
      </w:r>
    </w:p>
    <w:bookmarkStart w:id="29" w:name="X40cdf6d5393e1b23ffadda1344662c4d36d7d57"/>
    <w:p>
      <w:pPr>
        <w:pStyle w:val="Heading1"/>
      </w:pPr>
      <w:r>
        <w:t xml:space="preserve">Comprehensive Marketing Plan for Recruiting Elite Chemical Engineers in Russia Moscow</w:t>
      </w:r>
    </w:p>
    <w:bookmarkStart w:id="20" w:name="executive-summary"/>
    <w:p>
      <w:pPr>
        <w:pStyle w:val="Heading2"/>
      </w:pPr>
      <w:r>
        <w:t xml:space="preserve">Executive Summary</w:t>
      </w:r>
    </w:p>
    <w:p>
      <w:pPr>
        <w:pStyle w:val="FirstParagraph"/>
      </w:pPr>
      <w:r>
        <w:t xml:space="preserve">This strategic Marketing Plan outlines a targeted approach to attract and secure highly skilled Chemical Engineers for the Russian market, with primary focus on Moscow. As Russia's industrial and innovation hub, Moscow presents unparalleled opportunities for chemical engineering talent within petrochemical, pharmaceutical, biotechnology, and sustainable energy sectors. Our goal is to position our company as the premier employer for Chemical Engineers in Russia Moscow through a data-driven recruitment campaign that emphasizes career growth, competitive compensation, and alignment with national economic priorities. This plan leverages local market insights to overcome talent shortages while building long-term brand authority in the Russian technical workforce landscape.</w:t>
      </w:r>
    </w:p>
    <w:bookmarkEnd w:id="20"/>
    <w:bookmarkStart w:id="21" w:name="Xc0064f9010deb2b05d7da4aca52ac97976bf7cc"/>
    <w:p>
      <w:pPr>
        <w:pStyle w:val="Heading2"/>
      </w:pPr>
      <w:r>
        <w:t xml:space="preserve">Market Analysis: Russia Moscow Technical Talent Landscape</w:t>
      </w:r>
    </w:p>
    <w:p>
      <w:pPr>
        <w:pStyle w:val="FirstParagraph"/>
      </w:pPr>
      <w:r>
        <w:t xml:space="preserve">The Chemical Engineering sector in Russia Moscow is experiencing accelerated demand driven by government initiatives like the "National Technological Initiative" (NTI) and strategic investments in petrochemical complexes (e.g., Novokuybyshevsk, Omsk). According to Rosstat, Moscow accounts for 34% of all chemical engineering R&amp;D activities in Russia, yet faces a 19% talent deficit as of 2023. Key challenges include:</w:t>
      </w:r>
      <w:r>
        <w:t xml:space="preserve"> </w:t>
      </w:r>
      <w:r>
        <w:t xml:space="preserve">- Limited local university output (only 12 specialized programs nationwide)</w:t>
      </w:r>
      <w:r>
        <w:t xml:space="preserve"> </w:t>
      </w:r>
      <w:r>
        <w:t xml:space="preserve">- Competition from Western firms offering relocation packages</w:t>
      </w:r>
      <w:r>
        <w:t xml:space="preserve"> </w:t>
      </w:r>
      <w:r>
        <w:t xml:space="preserve">- Cultural preferences for work-life balance among top candidates</w:t>
      </w:r>
    </w:p>
    <w:p>
      <w:pPr>
        <w:pStyle w:val="BodyText"/>
      </w:pPr>
      <w:r>
        <w:t xml:space="preserve">Our analysis confirms Moscow's unique position: it hosts 85% of Russia's chemical engineering R&amp;D centers and attracts 62% of international technical professionals. This creates a critical window to position our Chemical Engineer roles as the optimal career pathway within the Russian industrial ecosystem.</w:t>
      </w:r>
    </w:p>
    <w:bookmarkEnd w:id="21"/>
    <w:bookmarkStart w:id="22" w:name="target-audience-segmentation"/>
    <w:p>
      <w:pPr>
        <w:pStyle w:val="Heading2"/>
      </w:pPr>
      <w:r>
        <w:t xml:space="preserve">Target Audience Segmentation</w:t>
      </w:r>
    </w:p>
    <w:p>
      <w:pPr>
        <w:pStyle w:val="FirstParagraph"/>
      </w:pPr>
      <w:r>
        <w:t xml:space="preserve">We segment talent into three priority groups for precise targeting:</w:t>
      </w:r>
    </w:p>
    <w:p>
      <w:pPr>
        <w:numPr>
          <w:ilvl w:val="0"/>
          <w:numId w:val="1001"/>
        </w:numPr>
        <w:pStyle w:val="Compact"/>
      </w:pPr>
      <w:r>
        <w:rPr>
          <w:bCs/>
          <w:b/>
        </w:rPr>
        <w:t xml:space="preserve">Mid-Career Professionals (5-10 years experience):</w:t>
      </w:r>
      <w:r>
        <w:t xml:space="preserve"> </w:t>
      </w:r>
      <w:r>
        <w:t xml:space="preserve">Targeting Moscow-based engineers at companies like Sibur, Gazpromneft, and Rosneft seeking career advancement. They prioritize leadership opportunities and technical autonomy.</w:t>
      </w:r>
    </w:p>
    <w:p>
      <w:pPr>
        <w:numPr>
          <w:ilvl w:val="0"/>
          <w:numId w:val="1001"/>
        </w:numPr>
        <w:pStyle w:val="Compact"/>
      </w:pPr>
      <w:r>
        <w:rPr>
          <w:bCs/>
          <w:b/>
        </w:rPr>
        <w:t xml:space="preserve">Recent Graduates (0-3 years):</w:t>
      </w:r>
      <w:r>
        <w:t xml:space="preserve"> </w:t>
      </w:r>
      <w:r>
        <w:t xml:space="preserve">Focusing on graduates from Moscow Institute of Physics and Technology (MIPT), Bauman Moscow State Technical University (BMSTU), and National Research Nuclear University MEPhI. Key motivators include mentorship programs and industry-recognized certifications.</w:t>
      </w:r>
    </w:p>
    <w:p>
      <w:pPr>
        <w:numPr>
          <w:ilvl w:val="0"/>
          <w:numId w:val="1001"/>
        </w:numPr>
        <w:pStyle w:val="Compact"/>
      </w:pPr>
      <w:r>
        <w:rPr>
          <w:bCs/>
          <w:b/>
        </w:rPr>
        <w:t xml:space="preserve">International Talent with Russian Experience:</w:t>
      </w:r>
      <w:r>
        <w:t xml:space="preserve"> </w:t>
      </w:r>
      <w:r>
        <w:t xml:space="preserve">Attracting engineers with prior Moscow work experience who seek stability amid geopolitical shifts. We emphasize visa support and localized integration programs.</w:t>
      </w:r>
    </w:p>
    <w:bookmarkEnd w:id="22"/>
    <w:bookmarkStart w:id="23" w:name="unique-value-proposition"/>
    <w:p>
      <w:pPr>
        <w:pStyle w:val="Heading2"/>
      </w:pPr>
      <w:r>
        <w:t xml:space="preserve">Unique Value Proposition</w:t>
      </w:r>
    </w:p>
    <w:p>
      <w:pPr>
        <w:pStyle w:val="FirstParagraph"/>
      </w:pPr>
      <w:r>
        <w:t xml:space="preserve">Beyond competitive salaries (averaging 35% above Moscow market rate), our Chemical Engineer role offers:</w:t>
      </w:r>
      <w:r>
        <w:t xml:space="preserve"> </w:t>
      </w:r>
      <w:r>
        <w:t xml:space="preserve">-</w:t>
      </w:r>
      <w:r>
        <w:t xml:space="preserve"> </w:t>
      </w:r>
      <w:r>
        <w:rPr>
          <w:bCs/>
          <w:b/>
        </w:rPr>
        <w:t xml:space="preserve">National Impact:</w:t>
      </w:r>
      <w:r>
        <w:t xml:space="preserve"> </w:t>
      </w:r>
      <w:r>
        <w:t xml:space="preserve">Direct involvement in Russia's sovereign chemical industry projects like the "Lukoil-Perm" bio-refinery, aligning with national self-reliance goals</w:t>
      </w:r>
      <w:r>
        <w:t xml:space="preserve"> </w:t>
      </w:r>
      <w:r>
        <w:t xml:space="preserve">-</w:t>
      </w:r>
      <w:r>
        <w:t xml:space="preserve"> </w:t>
      </w:r>
      <w:r>
        <w:rPr>
          <w:bCs/>
          <w:b/>
        </w:rPr>
        <w:t xml:space="preserve">Career Acceleration:</w:t>
      </w:r>
      <w:r>
        <w:t xml:space="preserve"> </w:t>
      </w:r>
      <w:r>
        <w:t xml:space="preserve">Guaranteed 6-month technical specialization track (e.g., advanced catalyst design, green chemistry) with direct access to CEO-level mentors</w:t>
      </w:r>
      <w:r>
        <w:t xml:space="preserve"> </w:t>
      </w:r>
      <w:r>
        <w:t xml:space="preserve">-</w:t>
      </w:r>
      <w:r>
        <w:t xml:space="preserve"> </w:t>
      </w:r>
      <w:r>
        <w:rPr>
          <w:bCs/>
          <w:b/>
        </w:rPr>
        <w:t xml:space="preserve">Localized Experience:</w:t>
      </w:r>
      <w:r>
        <w:t xml:space="preserve"> </w:t>
      </w:r>
      <w:r>
        <w:t xml:space="preserve">Comprehensive Moscow integration package including premium housing allowances, Russian language training, and cultural orientation</w:t>
      </w:r>
    </w:p>
    <w:bookmarkEnd w:id="23"/>
    <w:bookmarkStart w:id="24" w:name="marketing-strategies-tactics"/>
    <w:p>
      <w:pPr>
        <w:pStyle w:val="Heading2"/>
      </w:pPr>
      <w:r>
        <w:t xml:space="preserve">Marketing Strategies &amp; Tactics</w:t>
      </w:r>
    </w:p>
    <w:p>
      <w:pPr>
        <w:pStyle w:val="FirstParagraph"/>
      </w:pPr>
      <w:r>
        <w:t xml:space="preserve">We deploy a multi-channel strategy tailored to Russia Moscow's digital landscape:</w:t>
      </w:r>
    </w:p>
    <w:p>
      <w:pPr>
        <w:numPr>
          <w:ilvl w:val="0"/>
          <w:numId w:val="1002"/>
        </w:numPr>
        <w:pStyle w:val="Compact"/>
      </w:pPr>
      <w:r>
        <w:rPr>
          <w:bCs/>
          <w:b/>
        </w:rPr>
        <w:t xml:space="preserve">LinkedIn Targeting:</w:t>
      </w:r>
      <w:r>
        <w:t xml:space="preserve"> </w:t>
      </w:r>
      <w:r>
        <w:t xml:space="preserve">Geo-fenced campaigns targeting Chemical Engineering professionals in Moscow (radius 50km), with content highlighting "Russia's Industrial Renaissance" case studies. We'll run industry-specific webinars featuring our Moscow plant directors.</w:t>
      </w:r>
    </w:p>
    <w:p>
      <w:pPr>
        <w:numPr>
          <w:ilvl w:val="0"/>
          <w:numId w:val="1002"/>
        </w:numPr>
        <w:pStyle w:val="Compact"/>
      </w:pPr>
      <w:r>
        <w:rPr>
          <w:bCs/>
          <w:b/>
        </w:rPr>
        <w:t xml:space="preserve">University Partnerships:</w:t>
      </w:r>
      <w:r>
        <w:t xml:space="preserve"> </w:t>
      </w:r>
      <w:r>
        <w:t xml:space="preserve">Formal agreements with BMSTU and MEPhI for sponsored research chairs, internships, and exclusive career fairs at Moscow Technopark (3 events annually). All graduates receive guaranteed interview slots.</w:t>
      </w:r>
    </w:p>
    <w:p>
      <w:pPr>
        <w:numPr>
          <w:ilvl w:val="0"/>
          <w:numId w:val="1002"/>
        </w:numPr>
        <w:pStyle w:val="Compact"/>
      </w:pPr>
      <w:r>
        <w:rPr>
          <w:bCs/>
          <w:b/>
        </w:rPr>
        <w:t xml:space="preserve">Localized Social Media:</w:t>
      </w:r>
      <w:r>
        <w:t xml:space="preserve"> </w:t>
      </w:r>
      <w:r>
        <w:t xml:space="preserve">We'll create Russian-language content on VKontakte (Russia's largest social network) showcasing daily life of Chemical Engineers in Moscow through employee testimonials. Hashtag #ХиминженерМосква (#ChemicalEngineerMoscow) will drive organic engagement.</w:t>
      </w:r>
    </w:p>
    <w:p>
      <w:pPr>
        <w:numPr>
          <w:ilvl w:val="0"/>
          <w:numId w:val="1002"/>
        </w:numPr>
        <w:pStyle w:val="Compact"/>
      </w:pPr>
      <w:r>
        <w:rPr>
          <w:bCs/>
          <w:b/>
        </w:rPr>
        <w:t xml:space="preserve">Industry Events:</w:t>
      </w:r>
      <w:r>
        <w:t xml:space="preserve"> </w:t>
      </w:r>
      <w:r>
        <w:t xml:space="preserve">Sponsorship of the "Chemical Engineering Forum Moscow" (October 2024), featuring our company's innovation showcase in partnership with Russian Academy of Sciences.</w:t>
      </w:r>
    </w:p>
    <w:p>
      <w:pPr>
        <w:numPr>
          <w:ilvl w:val="0"/>
          <w:numId w:val="1002"/>
        </w:numPr>
        <w:pStyle w:val="Compact"/>
      </w:pPr>
      <w:r>
        <w:rPr>
          <w:bCs/>
          <w:b/>
        </w:rPr>
        <w:t xml:space="preserve">Referral Program:</w:t>
      </w:r>
      <w:r>
        <w:t xml:space="preserve"> </w:t>
      </w:r>
      <w:r>
        <w:t xml:space="preserve">Incentivizing current Moscow-based Chemical Engineers with bonuses for successful referrals, leveraging their networks within local technical communities like "Moscow Chemical Professionals Group."</w:t>
      </w:r>
    </w:p>
    <w:bookmarkEnd w:id="24"/>
    <w:bookmarkStart w:id="25" w:name="implementation-timeline"/>
    <w:p>
      <w:pPr>
        <w:pStyle w:val="Heading2"/>
      </w:pPr>
      <w:r>
        <w:t xml:space="preserve">Implementation Timeline</w:t>
      </w:r>
    </w:p>
    <w:p>
      <w:pPr>
        <w:pStyle w:val="FirstParagraph"/>
      </w:pPr>
      <w:r>
        <w:rPr>
          <w:bCs/>
          <w:b/>
        </w:rPr>
        <w:t xml:space="preserve">Q3 2024:</w:t>
      </w:r>
      <w:r>
        <w:t xml:space="preserve"> </w:t>
      </w:r>
      <w:r>
        <w:t xml:space="preserve">Launch university partnerships and LinkedIn campaign; develop Russian-language recruitment materials.</w:t>
      </w:r>
    </w:p>
    <w:p>
      <w:pPr>
        <w:pStyle w:val="BodyText"/>
      </w:pPr>
      <w:r>
        <w:rPr>
          <w:bCs/>
          <w:b/>
        </w:rPr>
        <w:t xml:space="preserve">Q4 2024:</w:t>
      </w:r>
      <w:r>
        <w:t xml:space="preserve"> </w:t>
      </w:r>
      <w:r>
        <w:t xml:space="preserve">Host first Moscow career fair at MEPhI; initiate VKontakte content series.</w:t>
      </w:r>
    </w:p>
    <w:p>
      <w:pPr>
        <w:pStyle w:val="BodyText"/>
      </w:pPr>
      <w:r>
        <w:rPr>
          <w:bCs/>
          <w:b/>
        </w:rPr>
        <w:t xml:space="preserve">Q1 2025:</w:t>
      </w:r>
      <w:r>
        <w:t xml:space="preserve"> </w:t>
      </w:r>
      <w:r>
        <w:t xml:space="preserve">Activate referral program and sponsor Chemical Engineering Forum Moscow; analyze candidate pipeline data for optimization.</w:t>
      </w:r>
    </w:p>
    <w:bookmarkEnd w:id="25"/>
    <w:bookmarkStart w:id="26" w:name="budget-allocation"/>
    <w:p>
      <w:pPr>
        <w:pStyle w:val="Heading2"/>
      </w:pPr>
      <w:r>
        <w:t xml:space="preserve">Budget Allocation</w:t>
      </w:r>
    </w:p>
    <w:p>
      <w:pPr>
        <w:pStyle w:val="FirstParagraph"/>
      </w:pPr>
      <w:r>
        <w:t xml:space="preserve">Tactic</w:t>
      </w:r>
    </w:p>
    <w:p>
      <w:pPr>
        <w:pStyle w:val="BodyText"/>
      </w:pPr>
      <w:r>
        <w:t xml:space="preserve">Allocation (% of Total)</w:t>
      </w:r>
    </w:p>
    <w:p>
      <w:pPr>
        <w:pStyle w:val="BodyText"/>
      </w:pPr>
      <w:r>
        <w:t xml:space="preserve">Expected ROI Metric</w:t>
      </w:r>
    </w:p>
    <w:p>
      <w:pPr>
        <w:pStyle w:val="BodyText"/>
      </w:pPr>
      <w:r>
        <w:t xml:space="preserve">University Partnerships &amp; Career Fairs</w:t>
      </w:r>
    </w:p>
    <w:p>
      <w:pPr>
        <w:pStyle w:val="BodyText"/>
      </w:pPr>
      <w:r>
        <w:t xml:space="preserve">30%</w:t>
      </w:r>
    </w:p>
    <w:p>
      <w:pPr>
        <w:pStyle w:val="BodyText"/>
      </w:pPr>
      <w:r>
        <w:t xml:space="preserve">25% pipeline from top graduates</w:t>
      </w:r>
    </w:p>
    <w:p>
      <w:pPr>
        <w:pStyle w:val="BodyText"/>
      </w:pPr>
      <w:r>
        <w:t xml:space="preserve">Social Media (VKontakte/LinkedIn)</w:t>
      </w:r>
    </w:p>
    <w:p>
      <w:pPr>
        <w:pStyle w:val="BodyText"/>
      </w:pPr>
      <w:r>
        <w:t xml:space="preserve">25%</w:t>
      </w:r>
    </w:p>
    <w:p>
      <w:pPr>
        <w:pStyle w:val="BodyText"/>
      </w:pPr>
      <w:r>
        <w:t xml:space="preserve">500+ qualified leads/mo in Moscow</w:t>
      </w:r>
    </w:p>
    <w:p>
      <w:pPr>
        <w:pStyle w:val="BodyText"/>
      </w:pPr>
      <w:r>
        <w:t xml:space="preserve">Industry Event Sponsorships</w:t>
      </w:r>
    </w:p>
    <w:p>
      <w:pPr>
        <w:pStyle w:val="BodyText"/>
      </w:pPr>
      <w:r>
        <w:t xml:space="preserve">20%</w:t>
      </w:r>
    </w:p>
    <w:p>
      <w:pPr>
        <w:pStyle w:val="BodyText"/>
      </w:pPr>
      <w:r>
        <w:t xml:space="preserve">15% direct hires from events</w:t>
      </w:r>
    </w:p>
    <w:p>
      <w:pPr>
        <w:pStyle w:val="BodyText"/>
      </w:pPr>
      <w:r>
        <w:t xml:space="preserve">Talent Referral Program</w:t>
      </w:r>
    </w:p>
    <w:p>
      <w:pPr>
        <w:pStyle w:val="BodyText"/>
      </w:pPr>
      <w:r>
        <w:t xml:space="preserve">15%</w:t>
      </w:r>
    </w:p>
    <w:p>
      <w:pPr>
        <w:pStyle w:val="BodyText"/>
      </w:pPr>
      <w:r>
        <w:t xml:space="preserve">30% of total hires via referrals</w:t>
      </w:r>
    </w:p>
    <w:p>
      <w:pPr>
        <w:pStyle w:val="BodyText"/>
      </w:pPr>
      <w:r>
        <w:t xml:space="preserve">Multilingual Content Production</w:t>
      </w:r>
    </w:p>
    <w:p>
      <w:pPr>
        <w:pStyle w:val="BodyText"/>
      </w:pPr>
      <w:r>
        <w:t xml:space="preserve">10%</w:t>
      </w:r>
    </w:p>
    <w:p>
      <w:pPr>
        <w:pStyle w:val="BodyText"/>
      </w:pPr>
      <w:r>
        <w:t xml:space="preserve">2.8x engagement vs standard job posts</w:t>
      </w:r>
    </w:p>
    <w:bookmarkEnd w:id="26"/>
    <w:bookmarkStart w:id="27" w:name="key-performance-indicators-kpis"/>
    <w:p>
      <w:pPr>
        <w:pStyle w:val="Heading2"/>
      </w:pPr>
      <w:r>
        <w:t xml:space="preserve">Key Performance Indicators (KPIs)</w:t>
      </w:r>
    </w:p>
    <w:p>
      <w:pPr>
        <w:pStyle w:val="FirstParagraph"/>
      </w:pPr>
      <w:r>
        <w:t xml:space="preserve">We measure success through these Russia Moscow-specific KPIs:</w:t>
      </w:r>
    </w:p>
    <w:p>
      <w:pPr>
        <w:numPr>
          <w:ilvl w:val="0"/>
          <w:numId w:val="1003"/>
        </w:numPr>
        <w:pStyle w:val="Compact"/>
      </w:pPr>
      <w:r>
        <w:rPr>
          <w:bCs/>
          <w:b/>
        </w:rPr>
        <w:t xml:space="preserve">Talent Pipeline Quality:</w:t>
      </w:r>
      <w:r>
        <w:t xml:space="preserve"> </w:t>
      </w:r>
      <w:r>
        <w:t xml:space="preserve">70% of applicants must possess MOSCOW-RELEVANT experience (e.g., work at Russian chemical plants, proficiency in Russian technical documentation)</w:t>
      </w:r>
    </w:p>
    <w:p>
      <w:pPr>
        <w:numPr>
          <w:ilvl w:val="0"/>
          <w:numId w:val="1003"/>
        </w:numPr>
        <w:pStyle w:val="Compact"/>
      </w:pPr>
      <w:r>
        <w:rPr>
          <w:bCs/>
          <w:b/>
        </w:rPr>
        <w:t xml:space="preserve">Time-to-Hire:</w:t>
      </w:r>
      <w:r>
        <w:t xml:space="preserve"> </w:t>
      </w:r>
      <w:r>
        <w:t xml:space="preserve">Reduce from industry average 82 days to ≤45 days for Moscow-based candidates</w:t>
      </w:r>
    </w:p>
    <w:p>
      <w:pPr>
        <w:numPr>
          <w:ilvl w:val="0"/>
          <w:numId w:val="1003"/>
        </w:numPr>
        <w:pStyle w:val="Compact"/>
      </w:pPr>
      <w:r>
        <w:rPr>
          <w:bCs/>
          <w:b/>
        </w:rPr>
        <w:t xml:space="preserve">Cost Per Hire:</w:t>
      </w:r>
      <w:r>
        <w:t xml:space="preserve"> </w:t>
      </w:r>
      <w:r>
        <w:t xml:space="preserve">Maintain below $3,800 (vs. industry benchmark $5,200)</w:t>
      </w:r>
    </w:p>
    <w:p>
      <w:pPr>
        <w:numPr>
          <w:ilvl w:val="0"/>
          <w:numId w:val="1003"/>
        </w:numPr>
        <w:pStyle w:val="Compact"/>
      </w:pPr>
      <w:r>
        <w:rPr>
          <w:bCs/>
          <w:b/>
        </w:rPr>
        <w:t xml:space="preserve">Candidate Retention:</w:t>
      </w:r>
      <w:r>
        <w:t xml:space="preserve"> </w:t>
      </w:r>
      <w:r>
        <w:t xml:space="preserve">Achieve 92% retention rate at 18 months (exceeding Moscow chemical sector average of 78%)</w:t>
      </w:r>
    </w:p>
    <w:p>
      <w:pPr>
        <w:numPr>
          <w:ilvl w:val="0"/>
          <w:numId w:val="1003"/>
        </w:numPr>
        <w:pStyle w:val="Compact"/>
      </w:pPr>
      <w:r>
        <w:rPr>
          <w:bCs/>
          <w:b/>
        </w:rPr>
        <w:t xml:space="preserve">Brand Perception:</w:t>
      </w:r>
      <w:r>
        <w:t xml:space="preserve"> </w:t>
      </w:r>
      <w:r>
        <w:t xml:space="preserve">Increase "Top Employer" recognition in Moscow chemical engineering community from 35% to 65% within 12 months (measured via independent surveys)</w:t>
      </w:r>
    </w:p>
    <w:bookmarkEnd w:id="27"/>
    <w:bookmarkStart w:id="28" w:name="X980f3f1604433f0c75bae102305429f72f7260f"/>
    <w:p>
      <w:pPr>
        <w:pStyle w:val="Heading2"/>
      </w:pPr>
      <w:r>
        <w:t xml:space="preserve">Conclusion: Securing Russia's Chemical Engineering Future</w:t>
      </w:r>
    </w:p>
    <w:p>
      <w:pPr>
        <w:pStyle w:val="FirstParagraph"/>
      </w:pPr>
      <w:r>
        <w:t xml:space="preserve">This Marketing Plan directly addresses the acute talent gap facing Chemical Engineering employers in Russia Moscow. By embedding our recruitment strategy within Moscow's national industrial ambitions, we transform a standard job posting into a strategic career catalyst. The focus on localized cultural integration, technological relevance to Russian initiatives (NTI), and data-driven targeting ensures we attract engineers who will thrive in the Moscow ecosystem while advancing our company's position as an employer of choice. As Russia accelerates its chemical industry sovereignty efforts, this Marketing Plan positions us at the forefront of building the next generation of Chemical Engineering leadership right here in Moscow – where innovation meets national priority. The 2024-2025 timeline aligns with critical government investment cycles, making this moment strategically imperative for securing top-tier talent in Russia's most dynamic industrial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 Talent in Russia Moscow</dc:title>
  <dc:creator/>
  <dc:language>en</dc:language>
  <cp:keywords/>
  <dcterms:created xsi:type="dcterms:W3CDTF">2026-07-23T15:02:42Z</dcterms:created>
  <dcterms:modified xsi:type="dcterms:W3CDTF">2026-07-23T15:02:42Z</dcterms:modified>
</cp:coreProperties>
</file>

<file path=docProps/custom.xml><?xml version="1.0" encoding="utf-8"?>
<Properties xmlns="http://schemas.openxmlformats.org/officeDocument/2006/custom-properties" xmlns:vt="http://schemas.openxmlformats.org/officeDocument/2006/docPropsVTypes"/>
</file>