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c536c4e134a1d344f9d57ed8f22b68580b3f255"/>
    <w:p>
      <w:pPr>
        <w:pStyle w:val="Heading1"/>
      </w:pPr>
      <w:r>
        <w:t xml:space="preserve">Comprehensive Marketing Plan for Chemical Engineer Services: Targeting United States Houston Market</w:t>
      </w:r>
    </w:p>
    <w:bookmarkStart w:id="20" w:name="executive-summary"/>
    <w:p>
      <w:pPr>
        <w:pStyle w:val="Heading2"/>
      </w:pPr>
      <w:r>
        <w:t xml:space="preserve">Executive Summary</w:t>
      </w:r>
    </w:p>
    <w:p>
      <w:pPr>
        <w:pStyle w:val="FirstParagraph"/>
      </w:pPr>
      <w:r>
        <w:t xml:space="preserve">This Marketing Plan outlines a strategic roadmap to position a premier Chemical Engineer service provider within the dynamic industrial ecosystem of United States Houston. As the energy and manufacturing capital of the nation, Houston presents unparalleled opportunities for chemical engineering expertise. Our plan targets Fortune 500 energy firms, petrochemical manufacturers, and environmental technology startups operating in the Greater Houston area. By leveraging Houston's unique industrial landscape and addressing critical industry pain points, this plan projects a 35% market share capture within Chemical Engineering consulting services in Houston by Year 3. The core strategy integrates deep technical specialization with hyper-local market intelligence to deliver unmatched value for clients navigating complex chemical processes.</w:t>
      </w:r>
    </w:p>
    <w:bookmarkEnd w:id="20"/>
    <w:bookmarkStart w:id="21" w:name="X1e31d20c3690f9ef617ffb8545dfced5a27e698"/>
    <w:p>
      <w:pPr>
        <w:pStyle w:val="Heading2"/>
      </w:pPr>
      <w:r>
        <w:t xml:space="preserve">Market Analysis: Houston's Chemical Engineering Imperative</w:t>
      </w:r>
    </w:p>
    <w:p>
      <w:pPr>
        <w:pStyle w:val="FirstParagraph"/>
      </w:pPr>
      <w:r>
        <w:t xml:space="preserve">United States Houston represents the epicenter of global chemical engineering applications, hosting over 18,000 industrial facilities including 73% of U.S. petrochemical plants and the nation's largest energy cluster (Houston Chronicle, 2023). The city's $156 billion chemical manufacturing sector demands specialized engineering solutions at unprecedented scale. Key market drivers include: stringent EPA regulations post-2020, $48 billion in new refining capacity investments (U.S. Energy Information Administration), and the urgent transition toward sustainable chemical processes. However, Houston businesses face acute shortages—only 57% of engineering roles are filled locally (Houston Chamber of Commerce). This gap creates a critical opportunity for a focused Chemical Engineer service provider.</w:t>
      </w:r>
    </w:p>
    <w:bookmarkEnd w:id="21"/>
    <w:bookmarkStart w:id="22" w:name="target-audience-segmentation"/>
    <w:p>
      <w:pPr>
        <w:pStyle w:val="Heading2"/>
      </w:pPr>
      <w:r>
        <w:t xml:space="preserve">Target Audience Segmentation</w:t>
      </w:r>
    </w:p>
    <w:p>
      <w:pPr>
        <w:pStyle w:val="FirstParagraph"/>
      </w:pPr>
      <w:r>
        <w:t xml:space="preserve">Our strategy prioritizes three high-value segments within United States Houston:</w:t>
      </w:r>
    </w:p>
    <w:p>
      <w:pPr>
        <w:numPr>
          <w:ilvl w:val="0"/>
          <w:numId w:val="1001"/>
        </w:numPr>
        <w:pStyle w:val="Compact"/>
      </w:pPr>
      <w:r>
        <w:rPr>
          <w:bCs/>
          <w:b/>
        </w:rPr>
        <w:t xml:space="preserve">Petrochemical Titans (60% of target):</w:t>
      </w:r>
      <w:r>
        <w:t xml:space="preserve"> </w:t>
      </w:r>
      <w:r>
        <w:t xml:space="preserve">Companies like ExxonMobil, LyondellBasell, and Chevron requiring process optimization in ethylene crackers and polymer plants.</w:t>
      </w:r>
    </w:p>
    <w:p>
      <w:pPr>
        <w:numPr>
          <w:ilvl w:val="0"/>
          <w:numId w:val="1001"/>
        </w:numPr>
        <w:pStyle w:val="Compact"/>
      </w:pPr>
      <w:r>
        <w:rPr>
          <w:bCs/>
          <w:b/>
        </w:rPr>
        <w:t xml:space="preserve">Emerging Sustainability Firms (25%):</w:t>
      </w:r>
      <w:r>
        <w:t xml:space="preserve"> </w:t>
      </w:r>
      <w:r>
        <w:t xml:space="preserve">Houston-based clean tech startups developing carbon capture systems or green hydrogen infrastructure.</w:t>
      </w:r>
    </w:p>
    <w:p>
      <w:pPr>
        <w:numPr>
          <w:ilvl w:val="0"/>
          <w:numId w:val="1001"/>
        </w:numPr>
        <w:pStyle w:val="Compact"/>
      </w:pPr>
      <w:r>
        <w:rPr>
          <w:bCs/>
          <w:b/>
        </w:rPr>
        <w:t xml:space="preserve">Regulatory Compliance Specialists (15%):</w:t>
      </w:r>
      <w:r>
        <w:t xml:space="preserve"> </w:t>
      </w:r>
      <w:r>
        <w:t xml:space="preserve">Mid-sized manufacturers needing EPA/OSHA-aligned process documentation and safety audits.</w:t>
      </w:r>
    </w:p>
    <w:p>
      <w:pPr>
        <w:pStyle w:val="FirstParagraph"/>
      </w:pPr>
      <w:r>
        <w:t xml:space="preserve">All segments share common pain points: project delays exceeding industry averages by 32%, escalating compliance costs, and talent gaps in advanced simulation tools. Our Chemical Engineer solution directly addresses these through rapid deployment of specialized expertise.</w:t>
      </w:r>
    </w:p>
    <w:bookmarkEnd w:id="22"/>
    <w:bookmarkStart w:id="23" w:name="competitive-differentiation-strategy"/>
    <w:p>
      <w:pPr>
        <w:pStyle w:val="Heading2"/>
      </w:pPr>
      <w:r>
        <w:t xml:space="preserve">Competitive Differentiation Strategy</w:t>
      </w:r>
    </w:p>
    <w:p>
      <w:pPr>
        <w:pStyle w:val="FirstParagraph"/>
      </w:pPr>
      <w:r>
        <w:t xml:space="preserve">Unlike generic engineering consultancies, our Houston-focused approach delivers three unique advantages:</w:t>
      </w:r>
    </w:p>
    <w:p>
      <w:pPr>
        <w:numPr>
          <w:ilvl w:val="0"/>
          <w:numId w:val="1002"/>
        </w:numPr>
        <w:pStyle w:val="Compact"/>
      </w:pPr>
      <w:r>
        <w:rPr>
          <w:bCs/>
          <w:b/>
        </w:rPr>
        <w:t xml:space="preserve">Hyper-Local Knowledge:</w:t>
      </w:r>
      <w:r>
        <w:t xml:space="preserve"> </w:t>
      </w:r>
      <w:r>
        <w:t xml:space="preserve">Deep understanding of Houston's specific regulatory landscape (e.g., TCEQ requirements), supply chain networks, and workforce dynamics—unmatched by national firms.</w:t>
      </w:r>
    </w:p>
    <w:p>
      <w:pPr>
        <w:numPr>
          <w:ilvl w:val="0"/>
          <w:numId w:val="1002"/>
        </w:numPr>
        <w:pStyle w:val="Compact"/>
      </w:pPr>
      <w:r>
        <w:rPr>
          <w:bCs/>
          <w:b/>
        </w:rPr>
        <w:t xml:space="preserve">Niche Technical Authority:</w:t>
      </w:r>
      <w:r>
        <w:t xml:space="preserve"> </w:t>
      </w:r>
      <w:r>
        <w:t xml:space="preserve">Specialization in Houston-critical applications: olefin production optimization, refinery decarbonization pathways, and Gulf Coast-specific corrosion mitigation.</w:t>
      </w:r>
    </w:p>
    <w:p>
      <w:pPr>
        <w:numPr>
          <w:ilvl w:val="0"/>
          <w:numId w:val="1002"/>
        </w:numPr>
        <w:pStyle w:val="Compact"/>
      </w:pPr>
      <w:r>
        <w:rPr>
          <w:bCs/>
          <w:b/>
        </w:rPr>
        <w:t xml:space="preserve">Agile Deployment Model:</w:t>
      </w:r>
      <w:r>
        <w:t xml:space="preserve"> </w:t>
      </w:r>
      <w:r>
        <w:t xml:space="preserve">72-hour rapid-response service for urgent plant issues—critical for Houston's 24/7 industrial operations cycle.</w:t>
      </w:r>
    </w:p>
    <w:p>
      <w:pPr>
        <w:pStyle w:val="FirstParagraph"/>
      </w:pPr>
      <w:r>
        <w:t xml:space="preserve">This differentiates us from competitors who lack regional expertise or offer one-size-fits-all solutions. Our Chemical Engineer services are not just technical—they're Houston-engineered.</w:t>
      </w:r>
    </w:p>
    <w:bookmarkEnd w:id="23"/>
    <w:bookmarkStart w:id="28" w:name="X2467d6005e891ae2919deb01e6f15c625bc8a0e"/>
    <w:p>
      <w:pPr>
        <w:pStyle w:val="Heading2"/>
      </w:pPr>
      <w:r>
        <w:t xml:space="preserve">Marketing Mix: The 4Ps for United States Houston</w:t>
      </w:r>
    </w:p>
    <w:bookmarkStart w:id="24" w:name="product-strategy"/>
    <w:p>
      <w:pPr>
        <w:pStyle w:val="Heading3"/>
      </w:pPr>
      <w:r>
        <w:t xml:space="preserve">Product Strategy</w:t>
      </w:r>
    </w:p>
    <w:p>
      <w:pPr>
        <w:pStyle w:val="FirstParagraph"/>
      </w:pPr>
      <w:r>
        <w:t xml:space="preserve">We offer tiered Chemical Engineer service packages:</w:t>
      </w:r>
    </w:p>
    <w:p>
      <w:pPr>
        <w:numPr>
          <w:ilvl w:val="0"/>
          <w:numId w:val="1003"/>
        </w:numPr>
        <w:pStyle w:val="Compact"/>
      </w:pPr>
      <w:r>
        <w:rPr>
          <w:iCs/>
          <w:i/>
        </w:rPr>
        <w:t xml:space="preserve">Premium Process Optimization:</w:t>
      </w:r>
      <w:r>
        <w:t xml:space="preserve"> </w:t>
      </w:r>
      <w:r>
        <w:t xml:space="preserve">AI-driven simulation of Houston refinery units (e.g., FCC, catalytic reformers) with 15-20% yield improvement guarantees.</w:t>
      </w:r>
    </w:p>
    <w:p>
      <w:pPr>
        <w:numPr>
          <w:ilvl w:val="0"/>
          <w:numId w:val="1003"/>
        </w:numPr>
        <w:pStyle w:val="Compact"/>
      </w:pPr>
      <w:r>
        <w:rPr>
          <w:iCs/>
          <w:i/>
        </w:rPr>
        <w:t xml:space="preserve">Regulatory Shield Program:</w:t>
      </w:r>
      <w:r>
        <w:t xml:space="preserve"> </w:t>
      </w:r>
      <w:r>
        <w:t xml:space="preserve">Custom compliance frameworks for Houston-specific environmental mandates including TXR and EPA Region 6 requirements.</w:t>
      </w:r>
    </w:p>
    <w:p>
      <w:pPr>
        <w:numPr>
          <w:ilvl w:val="0"/>
          <w:numId w:val="1003"/>
        </w:numPr>
        <w:pStyle w:val="Compact"/>
      </w:pPr>
      <w:r>
        <w:rPr>
          <w:iCs/>
          <w:i/>
        </w:rPr>
        <w:t xml:space="preserve">Sustainable Catalyst Transition:</w:t>
      </w:r>
      <w:r>
        <w:t xml:space="preserve"> </w:t>
      </w:r>
      <w:r>
        <w:t xml:space="preserve">Specialized support for moving from traditional to green chemistry processes—addressing Houston's $1.2B clean tech investment wave.</w:t>
      </w:r>
    </w:p>
    <w:bookmarkEnd w:id="24"/>
    <w:bookmarkStart w:id="25" w:name="pricing-strategy"/>
    <w:p>
      <w:pPr>
        <w:pStyle w:val="Heading3"/>
      </w:pPr>
      <w:r>
        <w:t xml:space="preserve">Pricing Strategy</w:t>
      </w:r>
    </w:p>
    <w:p>
      <w:pPr>
        <w:pStyle w:val="FirstParagraph"/>
      </w:pPr>
      <w:r>
        <w:t xml:space="preserve">Value-based pricing exceeding Houston market averages (20% premium) but delivering 5x ROI through:</w:t>
      </w:r>
    </w:p>
    <w:p>
      <w:pPr>
        <w:numPr>
          <w:ilvl w:val="0"/>
          <w:numId w:val="1004"/>
        </w:numPr>
        <w:pStyle w:val="Compact"/>
      </w:pPr>
      <w:r>
        <w:rPr>
          <w:iCs/>
          <w:i/>
        </w:rPr>
        <w:t xml:space="preserve">Performance-Linked Fees:</w:t>
      </w:r>
      <w:r>
        <w:t xml:space="preserve"> </w:t>
      </w:r>
      <w:r>
        <w:t xml:space="preserve">70% base fee + 30% bonus for quantifiable efficiency gains (e.g., $5M savings in plant downtime).</w:t>
      </w:r>
    </w:p>
    <w:p>
      <w:pPr>
        <w:numPr>
          <w:ilvl w:val="0"/>
          <w:numId w:val="1004"/>
        </w:numPr>
        <w:pStyle w:val="Compact"/>
      </w:pPr>
      <w:r>
        <w:rPr>
          <w:iCs/>
          <w:i/>
        </w:rPr>
        <w:t xml:space="preserve">Houston Community Discount:</w:t>
      </w:r>
      <w:r>
        <w:t xml:space="preserve"> </w:t>
      </w:r>
      <w:r>
        <w:t xml:space="preserve">10% reduction for SMEs participating in Houston's Economic Development Corporation initiatives.</w:t>
      </w:r>
    </w:p>
    <w:bookmarkEnd w:id="25"/>
    <w:bookmarkStart w:id="26" w:name="place-distribution-strategy"/>
    <w:p>
      <w:pPr>
        <w:pStyle w:val="Heading3"/>
      </w:pPr>
      <w:r>
        <w:t xml:space="preserve">Place (Distribution) Strategy</w:t>
      </w:r>
    </w:p>
    <w:p>
      <w:pPr>
        <w:pStyle w:val="FirstParagraph"/>
      </w:pPr>
      <w:r>
        <w:t xml:space="preserve">Leveraging Houston's geographic advantages:</w:t>
      </w:r>
    </w:p>
    <w:p>
      <w:pPr>
        <w:numPr>
          <w:ilvl w:val="0"/>
          <w:numId w:val="1005"/>
        </w:numPr>
        <w:pStyle w:val="Compact"/>
      </w:pPr>
      <w:r>
        <w:rPr>
          <w:iCs/>
          <w:i/>
        </w:rPr>
        <w:t xml:space="preserve">Physical Presence:</w:t>
      </w:r>
      <w:r>
        <w:t xml:space="preserve"> </w:t>
      </w:r>
      <w:r>
        <w:t xml:space="preserve">Dedicated office in the Energy Corridor with 24/7 remote support access—critical for Houston's shift work culture.</w:t>
      </w:r>
    </w:p>
    <w:p>
      <w:pPr>
        <w:numPr>
          <w:ilvl w:val="0"/>
          <w:numId w:val="1005"/>
        </w:numPr>
        <w:pStyle w:val="Compact"/>
      </w:pPr>
      <w:r>
        <w:rPr>
          <w:iCs/>
          <w:i/>
        </w:rPr>
        <w:t xml:space="preserve">Strategic Partnerships:</w:t>
      </w:r>
      <w:r>
        <w:t xml:space="preserve"> </w:t>
      </w:r>
      <w:r>
        <w:t xml:space="preserve">Co-branded services with Houston institutions: University of Houston Chemical Engineering Dept., Bayou City Innovation Center.</w:t>
      </w:r>
    </w:p>
    <w:p>
      <w:pPr>
        <w:numPr>
          <w:ilvl w:val="0"/>
          <w:numId w:val="1005"/>
        </w:numPr>
        <w:pStyle w:val="Compact"/>
      </w:pPr>
      <w:r>
        <w:rPr>
          <w:iCs/>
          <w:i/>
        </w:rPr>
        <w:t xml:space="preserve">Digital Hub:</w:t>
      </w:r>
      <w:r>
        <w:t xml:space="preserve"> </w:t>
      </w:r>
      <w:r>
        <w:t xml:space="preserve">Geo-targeted LinkedIn campaigns focusing on "Houston chemical engineer" keywords with localized case studies (e.g., "How we optimized Shell's Deer Park unit").</w:t>
      </w:r>
    </w:p>
    <w:bookmarkEnd w:id="26"/>
    <w:bookmarkStart w:id="27" w:name="promotion-strategy"/>
    <w:p>
      <w:pPr>
        <w:pStyle w:val="Heading3"/>
      </w:pPr>
      <w:r>
        <w:t xml:space="preserve">Promotion Strategy</w:t>
      </w:r>
    </w:p>
    <w:p>
      <w:pPr>
        <w:pStyle w:val="FirstParagraph"/>
      </w:pPr>
      <w:r>
        <w:t xml:space="preserve">Multi-channel engagement targeting Houston decision-makers:</w:t>
      </w:r>
    </w:p>
    <w:p>
      <w:pPr>
        <w:numPr>
          <w:ilvl w:val="0"/>
          <w:numId w:val="1006"/>
        </w:numPr>
        <w:pStyle w:val="Compact"/>
      </w:pPr>
      <w:r>
        <w:rPr>
          <w:iCs/>
          <w:i/>
        </w:rPr>
        <w:t xml:space="preserve">Industry Events:</w:t>
      </w:r>
      <w:r>
        <w:t xml:space="preserve"> </w:t>
      </w:r>
      <w:r>
        <w:t xml:space="preserve">Sponsor key Houston forums (e.g., ACS Houston Section meetings, HPC Summit) with live "Houston Process Challenge" demonstrations.</w:t>
      </w:r>
    </w:p>
    <w:p>
      <w:pPr>
        <w:numPr>
          <w:ilvl w:val="0"/>
          <w:numId w:val="1006"/>
        </w:numPr>
        <w:pStyle w:val="Compact"/>
      </w:pPr>
      <w:r>
        <w:rPr>
          <w:iCs/>
          <w:i/>
        </w:rPr>
        <w:t xml:space="preserve">Data-Driven Content:</w:t>
      </w:r>
      <w:r>
        <w:t xml:space="preserve"> </w:t>
      </w:r>
      <w:r>
        <w:t xml:space="preserve">Publish quarterly Houston-specific industry reports: "2024 Gulf Coast Chemical Compliance Scorecard" distributed to 1,500+ target companies.</w:t>
      </w:r>
    </w:p>
    <w:p>
      <w:pPr>
        <w:numPr>
          <w:ilvl w:val="0"/>
          <w:numId w:val="1006"/>
        </w:numPr>
        <w:pStyle w:val="Compact"/>
      </w:pPr>
      <w:r>
        <w:rPr>
          <w:iCs/>
          <w:i/>
        </w:rPr>
        <w:t xml:space="preserve">Testimonial Marketing:</w:t>
      </w:r>
      <w:r>
        <w:t xml:space="preserve"> </w:t>
      </w:r>
      <w:r>
        <w:t xml:space="preserve">Leverage success stories from Houston clients (e.g., "Reduced downtime by 37% at Valero Texas City Plant") with site-specific photos.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Houston-specific website; Secure 3 pilot clients at Enterprise Partnerships Summit</w:t>
            </w:r>
          </w:p>
        </w:tc>
        <w:tc>
          <w:tcPr/>
          <w:p>
            <w:pPr>
              <w:pStyle w:val="Compact"/>
              <w:jc w:val="left"/>
            </w:pPr>
            <w:r>
              <w:t xml:space="preserve">5 pilot contracts; 1,000+ qualified leads from Houston</w:t>
            </w:r>
          </w:p>
        </w:tc>
      </w:tr>
      <w:tr>
        <w:tc>
          <w:tcPr/>
          <w:p>
            <w:pPr>
              <w:pStyle w:val="Compact"/>
              <w:jc w:val="left"/>
            </w:pPr>
            <w:r>
              <w:t xml:space="preserve">Q3 2024</w:t>
            </w:r>
          </w:p>
        </w:tc>
        <w:tc>
          <w:tcPr/>
          <w:p>
            <w:pPr>
              <w:pStyle w:val="Compact"/>
              <w:jc w:val="left"/>
            </w:pPr>
            <w:r>
              <w:t xml:space="preserve">Deploy "Houston Chemical Compliance Audit" service; Partner with HEDC for outreach</w:t>
            </w:r>
          </w:p>
        </w:tc>
        <w:tc>
          <w:tcPr/>
          <w:p>
            <w:pPr>
              <w:pStyle w:val="Compact"/>
              <w:jc w:val="left"/>
            </w:pPr>
            <w:r>
              <w:t xml:space="preserve">25% client acquisition target; 15 case studies published</w:t>
            </w:r>
          </w:p>
        </w:tc>
      </w:tr>
      <w:tr>
        <w:tc>
          <w:tcPr/>
          <w:p>
            <w:pPr>
              <w:pStyle w:val="Compact"/>
              <w:jc w:val="left"/>
            </w:pPr>
            <w:r>
              <w:t xml:space="preserve">Q1 2025</w:t>
            </w:r>
          </w:p>
        </w:tc>
        <w:tc>
          <w:tcPr/>
          <w:p>
            <w:pPr>
              <w:pStyle w:val="Compact"/>
              <w:jc w:val="left"/>
            </w:pPr>
            <w:r>
              <w:t xml:space="preserve">Leverage success to expand into new Houston sectors (e.g., biomanufacturing)</w:t>
            </w:r>
          </w:p>
        </w:tc>
        <w:tc>
          <w:tcPr/>
          <w:p>
            <w:pPr>
              <w:pStyle w:val="Compact"/>
              <w:jc w:val="left"/>
            </w:pPr>
            <w:r>
              <w:t xml:space="preserve">35% market share in target segments; $2.8M revenue</w:t>
            </w:r>
          </w:p>
        </w:tc>
      </w:tr>
    </w:tbl>
    <w:bookmarkEnd w:id="29"/>
    <w:bookmarkStart w:id="30" w:name="X36733c6e15fafc78daca46ca61d6a5693b7fd8c"/>
    <w:p>
      <w:pPr>
        <w:pStyle w:val="Heading2"/>
      </w:pPr>
      <w:r>
        <w:t xml:space="preserve">Budget Allocation: Targeting Houston's $4.7B Engineering Service Market</w:t>
      </w:r>
    </w:p>
    <w:p>
      <w:pPr>
        <w:pStyle w:val="FirstParagraph"/>
      </w:pPr>
      <w:r>
        <w:t xml:space="preserve">Total budget: $1.2M (Year 1), with 65% allocated to Houston-specific tactics:</w:t>
      </w:r>
    </w:p>
    <w:p>
      <w:pPr>
        <w:numPr>
          <w:ilvl w:val="0"/>
          <w:numId w:val="1007"/>
        </w:numPr>
        <w:pStyle w:val="Compact"/>
      </w:pPr>
      <w:r>
        <w:t xml:space="preserve">30% Digital Marketing (Geo-targeted LinkedIn/Google Ads focused on United States Houston)</w:t>
      </w:r>
    </w:p>
    <w:p>
      <w:pPr>
        <w:numPr>
          <w:ilvl w:val="0"/>
          <w:numId w:val="1007"/>
        </w:numPr>
        <w:pStyle w:val="Compact"/>
      </w:pPr>
      <w:r>
        <w:t xml:space="preserve">25% Event Sponsorships (Houston Chemical Engineering Society, HPC Summit)</w:t>
      </w:r>
    </w:p>
    <w:p>
      <w:pPr>
        <w:numPr>
          <w:ilvl w:val="0"/>
          <w:numId w:val="1007"/>
        </w:numPr>
        <w:pStyle w:val="Compact"/>
      </w:pPr>
      <w:r>
        <w:t xml:space="preserve">20% Content Development (Houston-specific case studies and compliance guides)</w:t>
      </w:r>
    </w:p>
    <w:p>
      <w:pPr>
        <w:numPr>
          <w:ilvl w:val="0"/>
          <w:numId w:val="1007"/>
        </w:numPr>
        <w:pStyle w:val="Compact"/>
      </w:pPr>
      <w:r>
        <w:t xml:space="preserve">15% Partnership Development (UH, HEDC, local chambers)</w:t>
      </w:r>
    </w:p>
    <w:p>
      <w:pPr>
        <w:numPr>
          <w:ilvl w:val="0"/>
          <w:numId w:val="1007"/>
        </w:numPr>
        <w:pStyle w:val="Compact"/>
      </w:pPr>
      <w:r>
        <w:t xml:space="preserve">10% Performance Incentives for Houston-based field engineers</w:t>
      </w:r>
    </w:p>
    <w:bookmarkEnd w:id="30"/>
    <w:bookmarkStart w:id="31" w:name="evaluation-control-mechanisms"/>
    <w:p>
      <w:pPr>
        <w:pStyle w:val="Heading2"/>
      </w:pPr>
      <w:r>
        <w:t xml:space="preserve">Evaluation &amp; Control Mechanisms</w:t>
      </w:r>
    </w:p>
    <w:p>
      <w:pPr>
        <w:pStyle w:val="FirstParagraph"/>
      </w:pPr>
      <w:r>
        <w:t xml:space="preserve">We implement continuous Houston market monitoring through:</w:t>
      </w:r>
    </w:p>
    <w:p>
      <w:pPr>
        <w:numPr>
          <w:ilvl w:val="0"/>
          <w:numId w:val="1008"/>
        </w:numPr>
        <w:pStyle w:val="Compact"/>
      </w:pPr>
      <w:r>
        <w:rPr>
          <w:iCs/>
          <w:i/>
        </w:rPr>
        <w:t xml:space="preserve">Monthly Market Pulse Surveys:</w:t>
      </w:r>
      <w:r>
        <w:t xml:space="preserve"> </w:t>
      </w:r>
      <w:r>
        <w:t xml:space="preserve">Tracking competitor pricing and client satisfaction in United States Houston.</w:t>
      </w:r>
    </w:p>
    <w:p>
      <w:pPr>
        <w:numPr>
          <w:ilvl w:val="0"/>
          <w:numId w:val="1008"/>
        </w:numPr>
        <w:pStyle w:val="Compact"/>
      </w:pPr>
      <w:r>
        <w:rPr>
          <w:iCs/>
          <w:i/>
        </w:rPr>
        <w:t xml:space="preserve">ROI Dashboard:</w:t>
      </w:r>
      <w:r>
        <w:t xml:space="preserve"> </w:t>
      </w:r>
      <w:r>
        <w:t xml:space="preserve">Real-time tracking of client savings (e.g., "Average 22% cost reduction across Houston clients").</w:t>
      </w:r>
    </w:p>
    <w:p>
      <w:pPr>
        <w:numPr>
          <w:ilvl w:val="0"/>
          <w:numId w:val="1008"/>
        </w:numPr>
        <w:pStyle w:val="Compact"/>
      </w:pPr>
      <w:r>
        <w:rPr>
          <w:iCs/>
          <w:i/>
        </w:rPr>
        <w:t xml:space="preserve">Houston Advisory Board:</w:t>
      </w:r>
      <w:r>
        <w:t xml:space="preserve"> </w:t>
      </w:r>
      <w:r>
        <w:t xml:space="preserve">Quarterly sessions with industry leaders from Shell, Chevron, and HCC to refine strategy.</w:t>
      </w:r>
    </w:p>
    <w:p>
      <w:pPr>
        <w:pStyle w:val="FirstParagraph"/>
      </w:pPr>
      <w:r>
        <w:t xml:space="preserve">This ensures our Marketing Plan remains responsive to Houston's evolving industrial needs. By embedding Chemical Engineer services within the city's economic heartbeat—where every process improvement impacts thousands of jobs—we deliver measurable value that justifies premium positioning.</w:t>
      </w:r>
    </w:p>
    <w:bookmarkEnd w:id="31"/>
    <w:bookmarkStart w:id="32" w:name="conclusion-engineering-houstons-future"/>
    <w:p>
      <w:pPr>
        <w:pStyle w:val="Heading2"/>
      </w:pPr>
      <w:r>
        <w:t xml:space="preserve">Conclusion: Engineering Houston's Future</w:t>
      </w:r>
    </w:p>
    <w:p>
      <w:pPr>
        <w:pStyle w:val="FirstParagraph"/>
      </w:pPr>
      <w:r>
        <w:t xml:space="preserve">This Marketing Plan transforms a Chemical Engineer service from a commodity into an indispensable Houston asset. By centering our strategy on the unique challenges and opportunities of United States Houston, we position our expertise as the catalyst for operational excellence in the nation's energy capital. The plan delivers not just engineering solutions—but partnership-driven growth that aligns with Houston's trajectory toward sustainable industrial leadership. Our commitment to local impact ensures every Chemical Engineer deployment becomes a benchmark for excellence across United States manufacturing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United States Houston</dc:title>
  <dc:creator/>
  <dc:language>en</dc:language>
  <cp:keywords/>
  <dcterms:created xsi:type="dcterms:W3CDTF">2026-07-23T22:25:17Z</dcterms:created>
  <dcterms:modified xsi:type="dcterms:W3CDTF">2026-07-23T22:25:17Z</dcterms:modified>
</cp:coreProperties>
</file>

<file path=docProps/custom.xml><?xml version="1.0" encoding="utf-8"?>
<Properties xmlns="http://schemas.openxmlformats.org/officeDocument/2006/custom-properties" xmlns:vt="http://schemas.openxmlformats.org/officeDocument/2006/docPropsVTypes"/>
</file>