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Services</w:t>
      </w:r>
      <w:r>
        <w:t xml:space="preserve"> </w:t>
      </w:r>
      <w:r>
        <w:t xml:space="preserve">Expansion</w:t>
      </w:r>
      <w:r>
        <w:t xml:space="preserve"> </w:t>
      </w:r>
      <w:r>
        <w:t xml:space="preserve">into</w:t>
      </w:r>
      <w:r>
        <w:t xml:space="preserve"> </w:t>
      </w:r>
      <w:r>
        <w:t xml:space="preserve">Beijing,</w:t>
      </w:r>
      <w:r>
        <w:t xml:space="preserve"> </w:t>
      </w:r>
      <w:r>
        <w:t xml:space="preserve">China</w:t>
      </w:r>
    </w:p>
    <w:bookmarkStart w:id="29" w:name="X929f9bca3b74d9432d6be3c6c69ef0e3710d9a9"/>
    <w:p>
      <w:pPr>
        <w:pStyle w:val="Heading1"/>
      </w:pPr>
      <w:r>
        <w:t xml:space="preserve">Comprehensive Marketing Plan for Chemist Services Launch in Beijing, China</w:t>
      </w:r>
    </w:p>
    <w:bookmarkStart w:id="20" w:name="executive-summary"/>
    <w:p>
      <w:pPr>
        <w:pStyle w:val="Heading2"/>
      </w:pPr>
      <w:r>
        <w:t xml:space="preserve">Executive Summary</w:t>
      </w:r>
    </w:p>
    <w:p>
      <w:pPr>
        <w:pStyle w:val="FirstParagraph"/>
      </w:pPr>
      <w:r>
        <w:t xml:space="preserve">This Marketing Plan outlines the strategic entry and growth framework for Chemist services within the competitive pharmaceutical and healthcare landscape of Beijing, China. Targeting a market valued at over $35 billion USD with 7% annual growth, this initiative leverages Beijing's high disposable income, aging population (18.6% aged 60+), and digital adoption rate of 94%. The plan prioritizes regulatory compliance with China's National Medical Products Administration (NMPA), cultural alignment, and technology integration to position Chemist as a trusted health partner for Beijing residents.</w:t>
      </w:r>
    </w:p>
    <w:bookmarkEnd w:id="20"/>
    <w:bookmarkStart w:id="21" w:name="market-analysis-china-beijing-context"/>
    <w:p>
      <w:pPr>
        <w:pStyle w:val="Heading2"/>
      </w:pPr>
      <w:r>
        <w:t xml:space="preserve">Market Analysis: China Beijing Context</w:t>
      </w:r>
    </w:p>
    <w:p>
      <w:pPr>
        <w:pStyle w:val="FirstParagraph"/>
      </w:pPr>
      <w:r>
        <w:t xml:space="preserve">Beijing presents a unique opportunity due to its concentration of affluent consumers, advanced healthcare infrastructure, and government focus on "Healthy China 2030." Key trends include: (1) Rising OTC medication demand (+15% YoY), (2) Digital health adoption exceeding 70% among urban residents, and (3) Strict regulatory requirements under the NMPA governing all pharmaceutical services. Competitors like Walgreens and local chains operate in Beijing but lack localized digital integration. The Chemist brand will differentiate through hyper-personalized service, pharmacist-led health consultations, and WeChat mini-program integration – addressing critical gaps in the Beijing market where 68% of consumers desire more professional advice (2023 China Healthcare Survey).</w:t>
      </w:r>
    </w:p>
    <w:bookmarkEnd w:id="21"/>
    <w:bookmarkStart w:id="22" w:name="target-audience-segmentation"/>
    <w:p>
      <w:pPr>
        <w:pStyle w:val="Heading2"/>
      </w:pPr>
      <w:r>
        <w:t xml:space="preserve">Target Audience Segmentation</w:t>
      </w:r>
    </w:p>
    <w:p>
      <w:pPr>
        <w:pStyle w:val="FirstParagraph"/>
      </w:pPr>
      <w:r>
        <w:t xml:space="preserve">Primary segments for Chemist in Beijing:</w:t>
      </w:r>
    </w:p>
    <w:p>
      <w:pPr>
        <w:numPr>
          <w:ilvl w:val="0"/>
          <w:numId w:val="1001"/>
        </w:numPr>
        <w:pStyle w:val="Compact"/>
      </w:pPr>
      <w:r>
        <w:rPr>
          <w:bCs/>
          <w:b/>
        </w:rPr>
        <w:t xml:space="preserve">Affluent Urban Families (45-65 years):</w:t>
      </w:r>
      <w:r>
        <w:t xml:space="preserve"> </w:t>
      </w:r>
      <w:r>
        <w:t xml:space="preserve">4.7 million residents in Beijing's central districts with high health expenditure. They prioritize quality over cost and seek professional guidance for chronic conditions like hypertension.</w:t>
      </w:r>
    </w:p>
    <w:p>
      <w:pPr>
        <w:numPr>
          <w:ilvl w:val="0"/>
          <w:numId w:val="1001"/>
        </w:numPr>
        <w:pStyle w:val="Compact"/>
      </w:pPr>
      <w:r>
        <w:rPr>
          <w:bCs/>
          <w:b/>
        </w:rPr>
        <w:t xml:space="preserve">Millennial Professionals (28-40 years):</w:t>
      </w:r>
      <w:r>
        <w:t xml:space="preserve"> </w:t>
      </w:r>
      <w:r>
        <w:t xml:space="preserve">3.2 million tech-savvy users in Wangfujing, Zhongguancun. Demand seamless digital experiences and wellness products accessible via WeChat.</w:t>
      </w:r>
    </w:p>
    <w:p>
      <w:pPr>
        <w:numPr>
          <w:ilvl w:val="0"/>
          <w:numId w:val="1001"/>
        </w:numPr>
        <w:pStyle w:val="Compact"/>
      </w:pPr>
      <w:r>
        <w:rPr>
          <w:bCs/>
          <w:b/>
        </w:rPr>
        <w:t xml:space="preserve">Elderly Population (60+ years):</w:t>
      </w:r>
      <w:r>
        <w:t xml:space="preserve"> </w:t>
      </w:r>
      <w:r>
        <w:t xml:space="preserve">18% of Beijing's residents requiring medication management support, with limited digital literacy but high trust in physical pharmacy services.</w:t>
      </w:r>
    </w:p>
    <w:bookmarkEnd w:id="22"/>
    <w:bookmarkStart w:id="23" w:name="X4a6126d2223a7fd453fe183c6cbe6f6245323e5"/>
    <w:p>
      <w:pPr>
        <w:pStyle w:val="Heading2"/>
      </w:pPr>
      <w:r>
        <w:t xml:space="preserve">Marketing Mix Strategy: Chemist Brand Positioning</w:t>
      </w:r>
    </w:p>
    <w:p>
      <w:pPr>
        <w:pStyle w:val="FirstParagraph"/>
      </w:pPr>
      <w:r>
        <w:rPr>
          <w:bCs/>
          <w:b/>
        </w:rPr>
        <w:t xml:space="preserve">Product:</w:t>
      </w:r>
      <w:r>
        <w:t xml:space="preserve"> </w:t>
      </w:r>
      <w:r>
        <w:t xml:space="preserve">Chemist will launch with three core offerings: (1) Prescription fulfillment with pharmacist consultations (NMPA-compliant), (2) Premium OTC wellness bundles for urban stress/sleep issues, and (3) AI-powered health assessment tools via WeChat. All products feature Mandarin-language labeling and culturally relevant formulations – e.g., herbal supplements aligned with Traditional Chinese Medicine principles.</w:t>
      </w:r>
    </w:p>
    <w:p>
      <w:pPr>
        <w:pStyle w:val="BodyText"/>
      </w:pPr>
      <w:r>
        <w:rPr>
          <w:bCs/>
          <w:b/>
        </w:rPr>
        <w:t xml:space="preserve">Pricing:</w:t>
      </w:r>
      <w:r>
        <w:t xml:space="preserve"> </w:t>
      </w:r>
      <w:r>
        <w:t xml:space="preserve">Premium but value-driven pricing ($25-$75 for wellness bundles vs. $18-$60 industry average). Beijing's high-income residents will pay 15% more for certified pharmacist services. Loyalty programs (e.g., "Chemist Health Pass") reward repeat visits with free blood pressure checks and exclusive content.</w:t>
      </w:r>
    </w:p>
    <w:p>
      <w:pPr>
        <w:pStyle w:val="BodyText"/>
      </w:pPr>
      <w:r>
        <w:rPr>
          <w:bCs/>
          <w:b/>
        </w:rPr>
        <w:t xml:space="preserve">Place:</w:t>
      </w:r>
      <w:r>
        <w:t xml:space="preserve"> </w:t>
      </w:r>
      <w:r>
        <w:t xml:space="preserve">Initial launch in 3 flagship stores across Beijing: one in Shijingshan (high senior population), one in Chaoyang (affluent residential area), and one near Peking University Hospital. All locations will be designed with Chinese aesthetics, featuring tea service areas and bilingual staff. E-commerce integration via Taobao Health and WeChat Mini-Program ensures 24/7 access.</w:t>
      </w:r>
    </w:p>
    <w:p>
      <w:pPr>
        <w:pStyle w:val="BodyText"/>
      </w:pPr>
      <w:r>
        <w:rPr>
          <w:bCs/>
          <w:b/>
        </w:rPr>
        <w:t xml:space="preserve">Promotion:</w:t>
      </w:r>
      <w:r>
        <w:t xml:space="preserve"> </w:t>
      </w:r>
      <w:r>
        <w:t xml:space="preserve">Three-tiered campaign: (1)</w:t>
      </w:r>
      <w:r>
        <w:t xml:space="preserve"> </w:t>
      </w:r>
      <w:r>
        <w:rPr>
          <w:iCs/>
          <w:i/>
        </w:rPr>
        <w:t xml:space="preserve">Local Partnerships</w:t>
      </w:r>
      <w:r>
        <w:t xml:space="preserve">: Co-branded health check-ups with Beijing Municipal Hospital Network; (2)</w:t>
      </w:r>
      <w:r>
        <w:t xml:space="preserve"> </w:t>
      </w:r>
      <w:r>
        <w:rPr>
          <w:iCs/>
          <w:i/>
        </w:rPr>
        <w:t xml:space="preserve">Digital Activation</w:t>
      </w:r>
      <w:r>
        <w:t xml:space="preserve">: WeChat live-streams with celebrity doctors discussing "Beijing Urban Wellness" topics; (3)</w:t>
      </w:r>
      <w:r>
        <w:t xml:space="preserve"> </w:t>
      </w:r>
      <w:r>
        <w:rPr>
          <w:iCs/>
          <w:i/>
        </w:rPr>
        <w:t xml:space="preserve">Community Engagement</w:t>
      </w:r>
      <w:r>
        <w:t xml:space="preserve">: Free medication safety workshops in 50 residential communities across Dongcheng and Xicheng districts. All content will be localized – avoiding Western health myths and emphasizing Beijing-specific concerns like air quality.</w:t>
      </w:r>
    </w:p>
    <w:bookmarkEnd w:id="23"/>
    <w:bookmarkStart w:id="24" w:name="regulatory-cultural-compliance"/>
    <w:p>
      <w:pPr>
        <w:pStyle w:val="Heading2"/>
      </w:pPr>
      <w:r>
        <w:t xml:space="preserve">Regulatory &amp; Cultural Compliance</w:t>
      </w:r>
    </w:p>
    <w:p>
      <w:pPr>
        <w:pStyle w:val="FirstParagraph"/>
      </w:pPr>
      <w:r>
        <w:t xml:space="preserve">Compliance is non-negotiable for success in China Beijing. Chemist will secure NMPA certification for all products within 6 months of launch, partner with local pharmacists for regulatory guidance, and avoid all unsubstantiated health claims. Culturally, the brand will incorporate elements like red (symbolizing luck) in store design and align communication with Chinese New Year health traditions – e.g., "Healthy Spring Festival" supplement kits.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approvals, storefront leasing in Beijing districts, staff recruitment (60% local pharmacists), and WeChat mini-program development.</w:t>
      </w:r>
    </w:p>
    <w:p>
      <w:pPr>
        <w:pStyle w:val="BodyText"/>
      </w:pPr>
      <w:r>
        <w:rPr>
          <w:bCs/>
          <w:b/>
        </w:rPr>
        <w:t xml:space="preserve">Months 4-6:</w:t>
      </w:r>
      <w:r>
        <w:t xml:space="preserve"> </w:t>
      </w:r>
      <w:r>
        <w:t xml:space="preserve">Soft launch with community workshops; influencer partnerships with Beijing-based wellness coaches; pilot OTC product testing.</w:t>
      </w:r>
    </w:p>
    <w:p>
      <w:pPr>
        <w:pStyle w:val="BodyText"/>
      </w:pPr>
      <w:r>
        <w:rPr>
          <w:bCs/>
          <w:b/>
        </w:rPr>
        <w:t xml:space="preserve">Months 7-12:</w:t>
      </w:r>
      <w:r>
        <w:t xml:space="preserve"> </w:t>
      </w:r>
      <w:r>
        <w:t xml:space="preserve">Full-scale launch across all three locations; data-driven optimization of product bundles based on Beijing consumer behavior analytics.</w:t>
      </w:r>
    </w:p>
    <w:bookmarkEnd w:id="25"/>
    <w:bookmarkStart w:id="26" w:name="budget-allocation-beijing-market-focus"/>
    <w:p>
      <w:pPr>
        <w:pStyle w:val="Heading2"/>
      </w:pPr>
      <w:r>
        <w:t xml:space="preserve">Budget Allocation (Beijing Market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Regulatory Compliance &amp; Licensing</w:t>
      </w:r>
    </w:p>
    <w:p>
      <w:pPr>
        <w:pStyle w:val="BodyText"/>
      </w:pPr>
      <w:r>
        <w:t xml:space="preserve">25%</w:t>
      </w:r>
    </w:p>
    <w:p>
      <w:pPr>
        <w:pStyle w:val="BodyText"/>
      </w:pPr>
      <w:r>
        <w:t xml:space="preserve">Critical for Beijing market entry; avoids operational shutdowns.</w:t>
      </w:r>
    </w:p>
    <w:p>
      <w:pPr>
        <w:pStyle w:val="BodyText"/>
      </w:pPr>
      <w:r>
        <w:t xml:space="preserve">Digital Platform Development (WeChat)</w:t>
      </w:r>
    </w:p>
    <w:p>
      <w:pPr>
        <w:pStyle w:val="BodyText"/>
      </w:pPr>
      <w:r>
        <w:t xml:space="preserve">30%</w:t>
      </w:r>
    </w:p>
    <w:p>
      <w:pPr>
        <w:pStyle w:val="BodyText"/>
      </w:pPr>
      <w:r>
        <w:t xml:space="preserve">Beijing consumers demand seamless mobile integration (94% smartphone penetration).</w:t>
      </w:r>
    </w:p>
    <w:p>
      <w:pPr>
        <w:pStyle w:val="BodyText"/>
      </w:pPr>
      <w:r>
        <w:t xml:space="preserve">Local Community Engagement</w:t>
      </w:r>
    </w:p>
    <w:p>
      <w:pPr>
        <w:pStyle w:val="BodyText"/>
      </w:pPr>
      <w:r>
        <w:t xml:space="preserve">20%</w:t>
      </w:r>
    </w:p>
    <w:p>
      <w:pPr>
        <w:pStyle w:val="BodyText"/>
      </w:pPr>
      <w:r>
        <w:t xml:space="preserve">Built trust in Beijing's neighborhood-centric culture.</w:t>
      </w:r>
    </w:p>
    <w:p>
      <w:pPr>
        <w:pStyle w:val="BodyText"/>
      </w:pPr>
      <w:r>
        <w:t xml:space="preserve">Store Design &amp; Operations (Beijing locations)</w:t>
      </w:r>
    </w:p>
    <w:p>
      <w:pPr>
        <w:pStyle w:val="BodyText"/>
      </w:pPr>
      <w:r>
        <w:t xml:space="preserve">25%</w:t>
      </w:r>
    </w:p>
    <w:bookmarkEnd w:id="26"/>
    <w:bookmarkStart w:id="27" w:name="kpis-for-success"/>
    <w:p>
      <w:pPr>
        <w:pStyle w:val="Heading2"/>
      </w:pPr>
      <w:r>
        <w:t xml:space="preserve">KPIs for Success</w:t>
      </w:r>
    </w:p>
    <w:p>
      <w:pPr>
        <w:pStyle w:val="FirstParagraph"/>
      </w:pPr>
      <w:r>
        <w:t xml:space="preserve">The Marketing Plan will track success through: (1) 80% customer retention rate within 6 months, (2) 30% market share among premium Beijing pharmacies by Year 2, and (3) 50,000 active WeChat users for Chemist services. All metrics will be measured against Beijing-specific benchmarks from the China National Health Commission.</w:t>
      </w:r>
    </w:p>
    <w:bookmarkEnd w:id="27"/>
    <w:bookmarkStart w:id="28" w:name="conclusion"/>
    <w:p>
      <w:pPr>
        <w:pStyle w:val="Heading2"/>
      </w:pPr>
      <w:r>
        <w:t xml:space="preserve">Conclusion</w:t>
      </w:r>
    </w:p>
    <w:p>
      <w:pPr>
        <w:pStyle w:val="FirstParagraph"/>
      </w:pPr>
      <w:r>
        <w:t xml:space="preserve">This Marketing Plan positions Chemist not merely as a pharmacy chain but as Beijing's health ecosystem partner. By embedding regulatory rigor, cultural intelligence, and digital innovation – all centered on the unique demands of China's capital city – Chemist will achieve sustainable growth in the $35B+ Beijing pharmaceutical market. The strategy ensures every initiative from storefront design to WeChat campaigns explicitly addresses "Chemist" as a trusted health authority within "China Beijing," making this a benchmark for global pharmacy expansion into Chinese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Services Expansion into Beijing, China</dc:title>
  <dc:creator/>
  <dc:language>en</dc:language>
  <cp:keywords/>
  <dcterms:created xsi:type="dcterms:W3CDTF">2026-07-21T12:14:00Z</dcterms:created>
  <dcterms:modified xsi:type="dcterms:W3CDTF">2026-07-21T12:14:00Z</dcterms:modified>
</cp:coreProperties>
</file>

<file path=docProps/custom.xml><?xml version="1.0" encoding="utf-8"?>
<Properties xmlns="http://schemas.openxmlformats.org/officeDocument/2006/custom-properties" xmlns:vt="http://schemas.openxmlformats.org/officeDocument/2006/docPropsVTypes"/>
</file>