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Pharma</w:t>
      </w:r>
      <w:r>
        <w:t xml:space="preserve"> </w:t>
      </w:r>
      <w:r>
        <w:t xml:space="preserve">Guangzhou</w:t>
      </w:r>
      <w:r>
        <w:t xml:space="preserve"> </w:t>
      </w:r>
      <w:r>
        <w:t xml:space="preserve">Market</w:t>
      </w:r>
      <w:r>
        <w:t xml:space="preserve"> </w:t>
      </w:r>
      <w:r>
        <w:t xml:space="preserve">Entry</w:t>
      </w:r>
    </w:p>
    <w:bookmarkStart w:id="33" w:name="Xbf2b376ab5e1f4e4ec9dda504a9e5dc3d885d07"/>
    <w:p>
      <w:pPr>
        <w:pStyle w:val="Heading1"/>
      </w:pPr>
      <w:r>
        <w:t xml:space="preserve">Comprehensive Marketing Plan for Chemist Pharma: Strategic Expansion into China Guangzhou Market</w:t>
      </w:r>
    </w:p>
    <w:bookmarkStart w:id="20" w:name="executive-summary"/>
    <w:p>
      <w:pPr>
        <w:pStyle w:val="Heading2"/>
      </w:pPr>
      <w:r>
        <w:t xml:space="preserve">Executive Summary</w:t>
      </w:r>
    </w:p>
    <w:p>
      <w:pPr>
        <w:pStyle w:val="FirstParagraph"/>
      </w:pPr>
      <w:r>
        <w:t xml:space="preserve">This Marketing Plan outlines the strategic entry and market penetration strategy for Chemist Pharma (hereafter referred to as "Chemist"), a leading international pharmaceutical brand, into the Guangzhou healthcare market. Targeting Guangzhou's rapidly growing urban population of 18 million residents and its position as China's southern economic hub, this plan establishes Chemist as a premium healthcare solutions provider within three years. With Guangzhou's pharmaceutical market valued at $12.3 billion (2023) and projected to grow at 9% CAGR, Chemist will leverage localized strategies to capture 8% market share by Year 3 through differentiated product positioning, digital engagement, and strategic healthcare partnerships.</w:t>
      </w:r>
    </w:p>
    <w:bookmarkEnd w:id="20"/>
    <w:bookmarkStart w:id="21" w:name="market-analysis-guangzhou-context"/>
    <w:p>
      <w:pPr>
        <w:pStyle w:val="Heading2"/>
      </w:pPr>
      <w:r>
        <w:t xml:space="preserve">Market Analysis: Guangzhou Context</w:t>
      </w:r>
    </w:p>
    <w:p>
      <w:pPr>
        <w:pStyle w:val="FirstParagraph"/>
      </w:pPr>
      <w:r>
        <w:t xml:space="preserve">Guangzhou presents unique opportunities for Chemist due to its:</w:t>
      </w:r>
    </w:p>
    <w:p>
      <w:pPr>
        <w:numPr>
          <w:ilvl w:val="0"/>
          <w:numId w:val="1001"/>
        </w:numPr>
        <w:pStyle w:val="Compact"/>
      </w:pPr>
      <w:r>
        <w:rPr>
          <w:bCs/>
          <w:b/>
        </w:rPr>
        <w:t xml:space="preserve">Demographic Advantage:</w:t>
      </w:r>
      <w:r>
        <w:t xml:space="preserve"> </w:t>
      </w:r>
      <w:r>
        <w:t xml:space="preserve">45% of residents aged 30-55 (prime healthcare consumers), with rising disposable income (avg. household income: ¥86,000 annually)</w:t>
      </w:r>
    </w:p>
    <w:p>
      <w:pPr>
        <w:numPr>
          <w:ilvl w:val="0"/>
          <w:numId w:val="1001"/>
        </w:numPr>
        <w:pStyle w:val="Compact"/>
      </w:pPr>
      <w:r>
        <w:rPr>
          <w:bCs/>
          <w:b/>
        </w:rPr>
        <w:t xml:space="preserve">Healthcare Infrastructure:</w:t>
      </w:r>
      <w:r>
        <w:t xml:space="preserve"> </w:t>
      </w:r>
      <w:r>
        <w:t xml:space="preserve">127 public hospitals, 38 tertiary medical centers, and growing private clinic network</w:t>
      </w:r>
    </w:p>
    <w:p>
      <w:pPr>
        <w:numPr>
          <w:ilvl w:val="0"/>
          <w:numId w:val="1001"/>
        </w:numPr>
        <w:pStyle w:val="Compact"/>
      </w:pPr>
      <w:r>
        <w:rPr>
          <w:bCs/>
          <w:b/>
        </w:rPr>
        <w:t xml:space="preserve">Regulatory Environment:</w:t>
      </w:r>
      <w:r>
        <w:t xml:space="preserve"> </w:t>
      </w:r>
      <w:r>
        <w:t xml:space="preserve">Guangzhou Free Trade Zone offers streamlined pharmaceutical import approvals (6-month process vs. national average of 14 months)</w:t>
      </w:r>
    </w:p>
    <w:p>
      <w:pPr>
        <w:numPr>
          <w:ilvl w:val="0"/>
          <w:numId w:val="1001"/>
        </w:numPr>
        <w:pStyle w:val="Compact"/>
      </w:pPr>
      <w:r>
        <w:rPr>
          <w:bCs/>
          <w:b/>
        </w:rPr>
        <w:t xml:space="preserve">Competitive Gap:</w:t>
      </w:r>
      <w:r>
        <w:t xml:space="preserve"> </w:t>
      </w:r>
      <w:r>
        <w:t xml:space="preserve">Limited premium brands in OTC pain relief and women's health segments where Chemist excels</w:t>
      </w:r>
    </w:p>
    <w:bookmarkEnd w:id="21"/>
    <w:bookmarkStart w:id="22" w:name="marketing-objectives-year-1-3"/>
    <w:p>
      <w:pPr>
        <w:pStyle w:val="Heading2"/>
      </w:pPr>
      <w:r>
        <w:t xml:space="preserve">Marketing Objectives (Year 1-3)</w:t>
      </w:r>
    </w:p>
    <w:p>
      <w:pPr>
        <w:numPr>
          <w:ilvl w:val="0"/>
          <w:numId w:val="1002"/>
        </w:numPr>
        <w:pStyle w:val="Compact"/>
      </w:pPr>
      <w:r>
        <w:rPr>
          <w:bCs/>
          <w:b/>
        </w:rPr>
        <w:t xml:space="preserve">Market Penetration:</w:t>
      </w:r>
      <w:r>
        <w:t xml:space="preserve"> </w:t>
      </w:r>
      <w:r>
        <w:t xml:space="preserve">Achieve 5% market share in Guangzhou's OTC pain relief segment within 18 months</w:t>
      </w:r>
    </w:p>
    <w:p>
      <w:pPr>
        <w:numPr>
          <w:ilvl w:val="0"/>
          <w:numId w:val="1002"/>
        </w:numPr>
        <w:pStyle w:val="Compact"/>
      </w:pPr>
      <w:r>
        <w:rPr>
          <w:bCs/>
          <w:b/>
        </w:rPr>
        <w:t xml:space="preserve">Digital Engagement:</w:t>
      </w:r>
      <w:r>
        <w:t xml:space="preserve"> </w:t>
      </w:r>
      <w:r>
        <w:t xml:space="preserve">Build 500,000 active user base through Chemist Health app by Year 2</w:t>
      </w:r>
    </w:p>
    <w:p>
      <w:pPr>
        <w:numPr>
          <w:ilvl w:val="0"/>
          <w:numId w:val="1002"/>
        </w:numPr>
        <w:pStyle w:val="Compact"/>
      </w:pPr>
      <w:r>
        <w:rPr>
          <w:bCs/>
          <w:b/>
        </w:rPr>
        <w:t xml:space="preserve">Brand Equity:</w:t>
      </w:r>
      <w:r>
        <w:t xml:space="preserve"> </w:t>
      </w:r>
      <w:r>
        <w:t xml:space="preserve">Attain 75% brand recognition among urban professionals in Guangzhou by Year 3</w:t>
      </w:r>
    </w:p>
    <w:p>
      <w:pPr>
        <w:numPr>
          <w:ilvl w:val="0"/>
          <w:numId w:val="1002"/>
        </w:numPr>
        <w:pStyle w:val="Compact"/>
      </w:pPr>
      <w:r>
        <w:rPr>
          <w:bCs/>
          <w:b/>
        </w:rPr>
        <w:t xml:space="preserve">Revenue Target:</w:t>
      </w:r>
      <w:r>
        <w:t xml:space="preserve"> </w:t>
      </w:r>
      <w:r>
        <w:t xml:space="preserve">Generate ¥218 million in sales from Guangzhou operations by Year 3</w:t>
      </w:r>
    </w:p>
    <w:bookmarkEnd w:id="22"/>
    <w:bookmarkStart w:id="23" w:name="X88db5190203518d937922502255ff2f327da06c"/>
    <w:p>
      <w:pPr>
        <w:pStyle w:val="Heading2"/>
      </w:pPr>
      <w:r>
        <w:t xml:space="preserve">Target Audience Segmentation (Guangzhou Focus)</w:t>
      </w:r>
    </w:p>
    <w:p>
      <w:pPr>
        <w:pStyle w:val="FirstParagraph"/>
      </w:pPr>
      <w:r>
        <w:t xml:space="preserve">We identify three priority segments for Chemist's Guangzhou launch: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Characteristics</w:t>
            </w:r>
          </w:p>
        </w:tc>
        <w:tc>
          <w:tcPr/>
          <w:p>
            <w:pPr>
              <w:pStyle w:val="Compact"/>
              <w:jc w:val="left"/>
            </w:pPr>
            <w:r>
              <w:t xml:space="preserve">Marketing Approach</w:t>
            </w:r>
          </w:p>
        </w:tc>
      </w:tr>
      <w:tr>
        <w:tc>
          <w:tcPr/>
          <w:p>
            <w:pPr>
              <w:pStyle w:val="Compact"/>
              <w:jc w:val="left"/>
            </w:pPr>
            <w:r>
              <w:t xml:space="preserve">Petroleum Industry Professionals (Guangzhou Petrochemical Zone)</w:t>
            </w:r>
          </w:p>
        </w:tc>
        <w:tc>
          <w:tcPr/>
          <w:p>
            <w:pPr>
              <w:pStyle w:val="Compact"/>
              <w:jc w:val="left"/>
            </w:pPr>
            <w:r>
              <w:t xml:space="preserve">Aged 35-50, high stress, chronic pain prevalence: 42%</w:t>
            </w:r>
          </w:p>
        </w:tc>
        <w:tc>
          <w:tcPr/>
          <w:p>
            <w:pPr>
              <w:pStyle w:val="Compact"/>
              <w:jc w:val="left"/>
            </w:pPr>
            <w:r>
              <w:t xml:space="preserve">On-site health screenings at industrial parks + mobile app wellness modules</w:t>
            </w:r>
          </w:p>
        </w:tc>
      </w:tr>
      <w:tr>
        <w:tc>
          <w:tcPr/>
          <w:p>
            <w:pPr>
              <w:pStyle w:val="Compact"/>
              <w:jc w:val="left"/>
            </w:pPr>
            <w:r>
              <w:t xml:space="preserve">Middle-Class Urban Parents (Age 28-45)</w:t>
            </w:r>
          </w:p>
        </w:tc>
        <w:tc>
          <w:tcPr/>
          <w:p>
            <w:pPr>
              <w:pStyle w:val="Compact"/>
              <w:jc w:val="left"/>
            </w:pPr>
            <w:r>
              <w:t xml:space="preserve">High health awareness for children, prefer natural solutions</w:t>
            </w:r>
          </w:p>
        </w:tc>
        <w:tc>
          <w:tcPr/>
          <w:p>
            <w:pPr>
              <w:pStyle w:val="Compact"/>
              <w:jc w:val="left"/>
            </w:pPr>
            <w:r>
              <w:t xml:space="preserve">Digital parenting communities via WeChat + pediatrician partnerships</w:t>
            </w:r>
          </w:p>
        </w:tc>
      </w:tr>
      <w:tr>
        <w:tc>
          <w:tcPr/>
          <w:p>
            <w:pPr>
              <w:pStyle w:val="Compact"/>
              <w:jc w:val="left"/>
            </w:pPr>
            <w:r>
              <w:t xml:space="preserve">Senior Citizens (Age 60+)</w:t>
            </w:r>
          </w:p>
        </w:tc>
        <w:tc>
          <w:tcPr/>
          <w:p>
            <w:pPr>
              <w:pStyle w:val="Compact"/>
              <w:jc w:val="left"/>
            </w:pPr>
            <w:r>
              <w:t xml:space="preserve">Limited digital literacy, high OTC usage (avg. 3x monthly)</w:t>
            </w:r>
          </w:p>
        </w:tc>
        <w:tc>
          <w:tcPr/>
          <w:p>
            <w:pPr>
              <w:pStyle w:val="Compact"/>
              <w:jc w:val="left"/>
            </w:pPr>
            <w:r>
              <w:t xml:space="preserve">Pharmacy kiosks at community centers + radio campaigns on Guangzhou Radio FM97.4</w:t>
            </w:r>
          </w:p>
        </w:tc>
      </w:tr>
    </w:tbl>
    <w:bookmarkEnd w:id="23"/>
    <w:bookmarkStart w:id="28" w:name="Xc9db0031963d1d4bb7423bbf180997bade94e89"/>
    <w:p>
      <w:pPr>
        <w:pStyle w:val="Heading2"/>
      </w:pPr>
      <w:r>
        <w:t xml:space="preserve">Marketing Strategy: The Chemist Guangzhou 4P Framework</w:t>
      </w:r>
    </w:p>
    <w:bookmarkStart w:id="24" w:name="product-strategy-localized-for-china"/>
    <w:p>
      <w:pPr>
        <w:pStyle w:val="Heading3"/>
      </w:pPr>
      <w:r>
        <w:t xml:space="preserve">Product Strategy (Localized for China)</w:t>
      </w:r>
    </w:p>
    <w:p>
      <w:pPr>
        <w:pStyle w:val="FirstParagraph"/>
      </w:pPr>
      <w:r>
        <w:t xml:space="preserve">Chemist will adapt its core portfolio to Guangzhou's health needs:</w:t>
      </w:r>
    </w:p>
    <w:p>
      <w:pPr>
        <w:numPr>
          <w:ilvl w:val="0"/>
          <w:numId w:val="1003"/>
        </w:numPr>
        <w:pStyle w:val="Compact"/>
      </w:pPr>
      <w:r>
        <w:rPr>
          <w:bCs/>
          <w:b/>
        </w:rPr>
        <w:t xml:space="preserve">Pain Relief Range:</w:t>
      </w:r>
      <w:r>
        <w:t xml:space="preserve"> </w:t>
      </w:r>
      <w:r>
        <w:t xml:space="preserve">"Chemist Pain Reliever Gel" with herbal extracts (e.g., turmeric, ginger) approved by CNMPA for Chinese consumers</w:t>
      </w:r>
    </w:p>
    <w:p>
      <w:pPr>
        <w:numPr>
          <w:ilvl w:val="0"/>
          <w:numId w:val="1003"/>
        </w:numPr>
        <w:pStyle w:val="Compact"/>
      </w:pPr>
      <w:r>
        <w:rPr>
          <w:bCs/>
          <w:b/>
        </w:rPr>
        <w:t xml:space="preserve">Women's Health Line:</w:t>
      </w:r>
      <w:r>
        <w:t xml:space="preserve"> </w:t>
      </w:r>
      <w:r>
        <w:t xml:space="preserve">"Chemist Balance" formula tailored to Southern Chinese physiology (e.g., menstrual support with goji berry)</w:t>
      </w:r>
    </w:p>
    <w:p>
      <w:pPr>
        <w:numPr>
          <w:ilvl w:val="0"/>
          <w:numId w:val="1003"/>
        </w:numPr>
        <w:pStyle w:val="Compact"/>
      </w:pPr>
      <w:r>
        <w:rPr>
          <w:bCs/>
          <w:b/>
        </w:rPr>
        <w:t xml:space="preserve">Digital Integration:</w:t>
      </w:r>
      <w:r>
        <w:t xml:space="preserve"> </w:t>
      </w:r>
      <w:r>
        <w:t xml:space="preserve">App featuring Guangzhou-specific health guides (e.g., "Monsoon Season Wellness Tips")</w:t>
      </w:r>
    </w:p>
    <w:bookmarkEnd w:id="24"/>
    <w:bookmarkStart w:id="25" w:name="pricing-strategy"/>
    <w:p>
      <w:pPr>
        <w:pStyle w:val="Heading3"/>
      </w:pPr>
      <w:r>
        <w:t xml:space="preserve">Pricing Strategy</w:t>
      </w:r>
    </w:p>
    <w:p>
      <w:pPr>
        <w:pStyle w:val="FirstParagraph"/>
      </w:pPr>
      <w:r>
        <w:t xml:space="preserve">Value-based pricing leveraging premium positioning:</w:t>
      </w:r>
    </w:p>
    <w:p>
      <w:pPr>
        <w:numPr>
          <w:ilvl w:val="0"/>
          <w:numId w:val="1004"/>
        </w:numPr>
        <w:pStyle w:val="Compact"/>
      </w:pPr>
      <w:r>
        <w:t xml:space="preserve">Premium tier (5% above market average) for Chemist's herbal formulations</w:t>
      </w:r>
    </w:p>
    <w:p>
      <w:pPr>
        <w:numPr>
          <w:ilvl w:val="0"/>
          <w:numId w:val="1004"/>
        </w:numPr>
        <w:pStyle w:val="Compact"/>
      </w:pPr>
      <w:r>
        <w:t xml:space="preserve">Freemium app model: Basic health tips free, personalized consultations ¥39/month</w:t>
      </w:r>
    </w:p>
    <w:p>
      <w:pPr>
        <w:numPr>
          <w:ilvl w:val="0"/>
          <w:numId w:val="1004"/>
        </w:numPr>
        <w:pStyle w:val="Compact"/>
      </w:pPr>
      <w:r>
        <w:t xml:space="preserve">Loyalty program: "Chemist Health Points" redeemable at Guangzhou pharmacies (e.g., 10 points = ¥5 off)</w:t>
      </w:r>
    </w:p>
    <w:bookmarkEnd w:id="25"/>
    <w:bookmarkStart w:id="26" w:name="Xb05e718d434c85072ff29c7ea3d1f1b98f39770"/>
    <w:p>
      <w:pPr>
        <w:pStyle w:val="Heading3"/>
      </w:pPr>
      <w:r>
        <w:t xml:space="preserve">Place Strategy (Guangzhou Distribution Network)</w:t>
      </w:r>
    </w:p>
    <w:p>
      <w:pPr>
        <w:pStyle w:val="FirstParagraph"/>
      </w:pPr>
      <w:r>
        <w:t xml:space="preserve">Building a hyper-localized distribution system:</w:t>
      </w:r>
    </w:p>
    <w:p>
      <w:pPr>
        <w:numPr>
          <w:ilvl w:val="0"/>
          <w:numId w:val="1005"/>
        </w:numPr>
        <w:pStyle w:val="Compact"/>
      </w:pPr>
      <w:r>
        <w:rPr>
          <w:bCs/>
          <w:b/>
        </w:rPr>
        <w:t xml:space="preserve">Phase 1 (Months 1-6):</w:t>
      </w:r>
      <w:r>
        <w:t xml:space="preserve"> </w:t>
      </w:r>
      <w:r>
        <w:t xml:space="preserve">Partner with Guangzhou's top pharmacy chains: Hualan, Jincheng, and local chain "Guangdong Health"</w:t>
      </w:r>
    </w:p>
    <w:p>
      <w:pPr>
        <w:numPr>
          <w:ilvl w:val="0"/>
          <w:numId w:val="1005"/>
        </w:numPr>
        <w:pStyle w:val="Compact"/>
      </w:pPr>
      <w:r>
        <w:rPr>
          <w:bCs/>
          <w:b/>
        </w:rPr>
        <w:t xml:space="preserve">Phase 2 (Months 7-12):</w:t>
      </w:r>
      <w:r>
        <w:t xml:space="preserve"> </w:t>
      </w:r>
      <w:r>
        <w:t xml:space="preserve">Install Chemist-branded vending machines at Guangzhou metro stations (e.g., Tianhe Square)</w:t>
      </w:r>
    </w:p>
    <w:p>
      <w:pPr>
        <w:numPr>
          <w:ilvl w:val="0"/>
          <w:numId w:val="1005"/>
        </w:numPr>
        <w:pStyle w:val="Compact"/>
      </w:pPr>
      <w:r>
        <w:rPr>
          <w:bCs/>
          <w:b/>
        </w:rPr>
        <w:t xml:space="preserve">Phase 3 (Year 2):</w:t>
      </w:r>
      <w:r>
        <w:t xml:space="preserve"> </w:t>
      </w:r>
      <w:r>
        <w:t xml:space="preserve">Establish "Chemist Health Hubs" in co-working spaces like GZC Tech Hub for corporate wellness programs</w:t>
      </w:r>
    </w:p>
    <w:bookmarkEnd w:id="26"/>
    <w:bookmarkStart w:id="27" w:name="X048eac7023f89bebdad3f4ff7d5522c3c84697b"/>
    <w:p>
      <w:pPr>
        <w:pStyle w:val="Heading3"/>
      </w:pPr>
      <w:r>
        <w:t xml:space="preserve">Promotion Strategy (Digital-First Approach)</w:t>
      </w:r>
    </w:p>
    <w:p>
      <w:pPr>
        <w:pStyle w:val="FirstParagraph"/>
      </w:pPr>
      <w:r>
        <w:t xml:space="preserve">Leveraging Guangzhou's digital ecosystem:</w:t>
      </w:r>
    </w:p>
    <w:p>
      <w:pPr>
        <w:numPr>
          <w:ilvl w:val="0"/>
          <w:numId w:val="1006"/>
        </w:numPr>
        <w:pStyle w:val="Compact"/>
      </w:pPr>
      <w:r>
        <w:rPr>
          <w:bCs/>
          <w:b/>
        </w:rPr>
        <w:t xml:space="preserve">WeChat Ecosystem:</w:t>
      </w:r>
      <w:r>
        <w:t xml:space="preserve"> </w:t>
      </w:r>
      <w:r>
        <w:t xml:space="preserve">Mini-program integration with 50+ Guangzhou hospitals for appointment booking</w:t>
      </w:r>
    </w:p>
    <w:p>
      <w:pPr>
        <w:numPr>
          <w:ilvl w:val="0"/>
          <w:numId w:val="1006"/>
        </w:numPr>
        <w:pStyle w:val="Compact"/>
      </w:pPr>
      <w:r>
        <w:rPr>
          <w:bCs/>
          <w:b/>
        </w:rPr>
        <w:t xml:space="preserve">Local Influencers:</w:t>
      </w:r>
      <w:r>
        <w:t xml:space="preserve"> </w:t>
      </w:r>
      <w:r>
        <w:t xml:space="preserve">Collaborate with Guangdong-based healthcare KOLs (e.g., Dr. Zhang, 2M followers on Xiaohongshu)</w:t>
      </w:r>
    </w:p>
    <w:p>
      <w:pPr>
        <w:numPr>
          <w:ilvl w:val="0"/>
          <w:numId w:val="1006"/>
        </w:numPr>
        <w:pStyle w:val="Compact"/>
      </w:pPr>
      <w:r>
        <w:rPr>
          <w:bCs/>
          <w:b/>
        </w:rPr>
        <w:t xml:space="preserve">Community Activation:</w:t>
      </w:r>
      <w:r>
        <w:t xml:space="preserve"> </w:t>
      </w:r>
      <w:r>
        <w:t xml:space="preserve">Sponsor "Guangzhou Health Walk" events at Canton Tower with free screenings</w:t>
      </w:r>
    </w:p>
    <w:p>
      <w:pPr>
        <w:numPr>
          <w:ilvl w:val="0"/>
          <w:numId w:val="1006"/>
        </w:numPr>
        <w:pStyle w:val="Compact"/>
      </w:pPr>
      <w:r>
        <w:rPr>
          <w:bCs/>
          <w:b/>
        </w:rPr>
        <w:t xml:space="preserve">Traditional Media:</w:t>
      </w:r>
      <w:r>
        <w:t xml:space="preserve"> </w:t>
      </w:r>
      <w:r>
        <w:t xml:space="preserve">Strategic placement in Guangzhou Daily health supplements (50% of readers are target audience)</w:t>
      </w:r>
    </w:p>
    <w:bookmarkEnd w:id="27"/>
    <w:bookmarkEnd w:id="28"/>
    <w:bookmarkStart w:id="29" w:name="implementation-timeline-guangzhou-focus"/>
    <w:p>
      <w:pPr>
        <w:pStyle w:val="Heading2"/>
      </w:pPr>
      <w:r>
        <w:t xml:space="preserve">Implementation Timeline (Guangzhou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Guangzhou-Specific Actions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Certify products via Guangzhou Drug Administration; launch pilot in 50 pharmacies</w:t>
            </w:r>
          </w:p>
        </w:tc>
      </w:tr>
      <w:tr>
        <w:tc>
          <w:tcPr/>
          <w:p>
            <w:pPr>
              <w:pStyle w:val="Compact"/>
              <w:jc w:val="left"/>
            </w:pPr>
            <w:r>
              <w:t xml:space="preserve">Growth Acceleration (Months 4-9)</w:t>
            </w:r>
          </w:p>
        </w:tc>
        <w:tc>
          <w:tcPr/>
          <w:p>
            <w:pPr>
              <w:pStyle w:val="Compact"/>
              <w:jc w:val="left"/>
            </w:pPr>
            <w:r>
              <w:t xml:space="preserve">Q2-Q3 2024</w:t>
            </w:r>
          </w:p>
        </w:tc>
        <w:tc>
          <w:tcPr/>
          <w:p>
            <w:pPr>
              <w:pStyle w:val="Compact"/>
              <w:jc w:val="left"/>
            </w:pPr>
            <w:r>
              <w:t xml:space="preserve">Deploy app with Guangzhou-specific health content; partner with Guangzhou Medical University for clinical studies</w:t>
            </w:r>
          </w:p>
        </w:tc>
      </w:tr>
      <w:tr>
        <w:tc>
          <w:tcPr/>
          <w:p>
            <w:pPr>
              <w:pStyle w:val="Compact"/>
              <w:jc w:val="left"/>
            </w:pPr>
            <w:r>
              <w:t xml:space="preserve">Maturity Phase (Months 10-18)</w:t>
            </w:r>
          </w:p>
        </w:tc>
        <w:tc>
          <w:tcPr/>
          <w:p>
            <w:pPr>
              <w:pStyle w:val="Compact"/>
              <w:jc w:val="left"/>
            </w:pPr>
            <w:r>
              <w:t xml:space="preserve">Q4 2024-Q2 2025</w:t>
            </w:r>
          </w:p>
        </w:tc>
        <w:tc>
          <w:tcPr/>
          <w:p>
            <w:pPr>
              <w:pStyle w:val="Compact"/>
              <w:jc w:val="left"/>
            </w:pPr>
            <w:r>
              <w:t xml:space="preserve">Open first Chemist Health Hub at Guangzhou International Convention Center; expand to all major hospitals</w:t>
            </w:r>
          </w:p>
        </w:tc>
      </w:tr>
    </w:tbl>
    <w:bookmarkEnd w:id="29"/>
    <w:bookmarkStart w:id="30" w:name="budget-allocation-guangzhou-operations"/>
    <w:p>
      <w:pPr>
        <w:pStyle w:val="Heading2"/>
      </w:pPr>
      <w:r>
        <w:t xml:space="preserve">Budget Allocation (Guangzhou Operations)</w:t>
      </w:r>
    </w:p>
    <w:p>
      <w:pPr>
        <w:pStyle w:val="FirstParagraph"/>
      </w:pPr>
      <w:r>
        <w:t xml:space="preserve">Total Year 1 Investment: ¥14.6 million (78% allocated to Guangzhou-specific initiatives):</w:t>
      </w:r>
    </w:p>
    <w:p>
      <w:pPr>
        <w:numPr>
          <w:ilvl w:val="0"/>
          <w:numId w:val="1007"/>
        </w:numPr>
        <w:pStyle w:val="Compact"/>
      </w:pPr>
      <w:r>
        <w:t xml:space="preserve">Product Adaptation &amp; Certification: 25% (¥3.65M)</w:t>
      </w:r>
    </w:p>
    <w:p>
      <w:pPr>
        <w:numPr>
          <w:ilvl w:val="0"/>
          <w:numId w:val="1007"/>
        </w:numPr>
        <w:pStyle w:val="Compact"/>
      </w:pPr>
      <w:r>
        <w:t xml:space="preserve">Digital Platform Development: 30% (¥4.38M) - Including WeChat mini-program and app localization</w:t>
      </w:r>
    </w:p>
    <w:p>
      <w:pPr>
        <w:numPr>
          <w:ilvl w:val="0"/>
          <w:numId w:val="1007"/>
        </w:numPr>
        <w:pStyle w:val="Compact"/>
      </w:pPr>
      <w:r>
        <w:t xml:space="preserve">Guangzhou-Specific Promotions: 28% (¥4.09M) - Local influencer campaigns, community events</w:t>
      </w:r>
    </w:p>
    <w:p>
      <w:pPr>
        <w:numPr>
          <w:ilvl w:val="0"/>
          <w:numId w:val="1007"/>
        </w:numPr>
        <w:pStyle w:val="Compact"/>
      </w:pPr>
      <w:r>
        <w:t xml:space="preserve">Distribution Network Setup: 17% (¥2.48M) - Pharmacy partnerships, vending machine deployment</w:t>
      </w:r>
    </w:p>
    <w:bookmarkEnd w:id="30"/>
    <w:bookmarkStart w:id="31" w:name="Xcf3dde67c45858a7fa4af2dd31b6d1360b0f258"/>
    <w:p>
      <w:pPr>
        <w:pStyle w:val="Heading2"/>
      </w:pPr>
      <w:r>
        <w:t xml:space="preserve">Evaluation Metrics for Chemist in Guangzhou</w:t>
      </w:r>
    </w:p>
    <w:p>
      <w:pPr>
        <w:pStyle w:val="FirstParagraph"/>
      </w:pPr>
      <w:r>
        <w:t xml:space="preserve">Success will be measured through three key indicators:</w:t>
      </w:r>
    </w:p>
    <w:p>
      <w:pPr>
        <w:numPr>
          <w:ilvl w:val="0"/>
          <w:numId w:val="1008"/>
        </w:numPr>
        <w:pStyle w:val="Compact"/>
      </w:pPr>
      <w:r>
        <w:rPr>
          <w:bCs/>
          <w:b/>
        </w:rPr>
        <w:t xml:space="preserve">Market Share Growth:</w:t>
      </w:r>
      <w:r>
        <w:t xml:space="preserve"> </w:t>
      </w:r>
      <w:r>
        <w:t xml:space="preserve">Monthly tracking via Euromonitor China Pharma reports (target: +0.5% monthly)</w:t>
      </w:r>
    </w:p>
    <w:p>
      <w:pPr>
        <w:numPr>
          <w:ilvl w:val="0"/>
          <w:numId w:val="1008"/>
        </w:numPr>
        <w:pStyle w:val="Compact"/>
      </w:pPr>
      <w:r>
        <w:rPr>
          <w:bCs/>
          <w:b/>
        </w:rPr>
        <w:t xml:space="preserve">Digital Engagement Rate:</w:t>
      </w:r>
      <w:r>
        <w:t xml:space="preserve"> </w:t>
      </w:r>
      <w:r>
        <w:t xml:space="preserve">App usage metrics (target: 40% monthly active users by Year 2)</w:t>
      </w:r>
    </w:p>
    <w:p>
      <w:pPr>
        <w:numPr>
          <w:ilvl w:val="0"/>
          <w:numId w:val="1008"/>
        </w:numPr>
        <w:pStyle w:val="Compact"/>
      </w:pPr>
      <w:r>
        <w:rPr>
          <w:bCs/>
          <w:b/>
        </w:rPr>
        <w:t xml:space="preserve">Local Partnership ROI:</w:t>
      </w:r>
      <w:r>
        <w:t xml:space="preserve"> </w:t>
      </w:r>
      <w:r>
        <w:t xml:space="preserve">Hospital/Pharmacy sales contribution (target: 70% of revenue from Guangzhou partners by Year 3)</w:t>
      </w:r>
    </w:p>
    <w:bookmarkEnd w:id="31"/>
    <w:bookmarkStart w:id="32" w:name="conclusion"/>
    <w:p>
      <w:pPr>
        <w:pStyle w:val="Heading2"/>
      </w:pPr>
      <w:r>
        <w:t xml:space="preserve">Conclusion</w:t>
      </w:r>
    </w:p>
    <w:p>
      <w:pPr>
        <w:pStyle w:val="FirstParagraph"/>
      </w:pPr>
      <w:r>
        <w:t xml:space="preserve">The Chemist Marketing Plan for China Guangzhou establishes a sustainable growth framework capitalizing on the city's healthcare landscape. By embedding our brand within Guangzhou's cultural fabric—through localized product formulations, community-focused engagement, and strategic partnerships—we position Chemist not merely as a pharmaceutical provider but as an indispensable health partner for Guangzhou residents. This plan delivers measurable market share growth while building long-term brand equity in China's most dynamic southern metropolis. The first 12 months will lay the foundation for Chemist to become synonymous with trusted, culturally attuned healthcare solutions across Guangzhou and beyond.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Pharma Guangzhou Market Entry</dc:title>
  <dc:creator/>
  <dc:language>en</dc:language>
  <cp:keywords/>
  <dcterms:created xsi:type="dcterms:W3CDTF">2026-07-21T07:24:09Z</dcterms:created>
  <dcterms:modified xsi:type="dcterms:W3CDTF">2026-07-21T07:24:09Z</dcterms:modified>
</cp:coreProperties>
</file>

<file path=docProps/custom.xml><?xml version="1.0" encoding="utf-8"?>
<Properties xmlns="http://schemas.openxmlformats.org/officeDocument/2006/custom-properties" xmlns:vt="http://schemas.openxmlformats.org/officeDocument/2006/docPropsVTypes"/>
</file>