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Frankfurt</w:t>
      </w:r>
      <w:r>
        <w:t xml:space="preserve"> </w:t>
      </w:r>
      <w:r>
        <w:t xml:space="preserve">Chemist</w:t>
      </w:r>
      <w:r>
        <w:t xml:space="preserve"> </w:t>
      </w:r>
      <w:r>
        <w:t xml:space="preserve">Pharmacy</w:t>
      </w:r>
    </w:p>
    <w:bookmarkStart w:id="33" w:name="Xedaaa483ce5b1f956f756b31c151e9553d46b6a"/>
    <w:p>
      <w:pPr>
        <w:pStyle w:val="Heading1"/>
      </w:pPr>
      <w:r>
        <w:t xml:space="preserve">Comprehensive Marketing Plan for Frankfurt Chemist Pharmacy: Serving Germany's Financial Hub</w:t>
      </w:r>
    </w:p>
    <w:bookmarkStart w:id="20" w:name="executive-summary"/>
    <w:p>
      <w:pPr>
        <w:pStyle w:val="Heading2"/>
      </w:pPr>
      <w:r>
        <w:t xml:space="preserve">Executive Summary</w:t>
      </w:r>
    </w:p>
    <w:p>
      <w:pPr>
        <w:pStyle w:val="FirstParagraph"/>
      </w:pPr>
      <w:r>
        <w:t xml:space="preserve">This Marketing Plan outlines a strategic roadmap for establishing and growing "Frankfurt Chemist," a premium pharmacy brand targeting healthcare-conscious residents and businesses in Germany Frankfurt. As the financial capital of Germany, Frankfurt presents unique opportunities for a specialized pharmacy service that integrates advanced pharmaceutical care with community health solutions. Our plan addresses market gaps in personalized medication management, chronic disease support, and digital health integration while adhering strictly to German pharmaceutical regulations. This initiative positions Frankfurt Chemist as the premier healthcare partner for both individual consumers and corporate clients across Germany's most dynamic business district.</w:t>
      </w:r>
    </w:p>
    <w:bookmarkEnd w:id="20"/>
    <w:bookmarkStart w:id="21" w:name="Xc7ec880902e2b24a39d068867a065717762a3b8"/>
    <w:p>
      <w:pPr>
        <w:pStyle w:val="Heading2"/>
      </w:pPr>
      <w:r>
        <w:t xml:space="preserve">Market Analysis: Germany Frankfurt Context</w:t>
      </w:r>
    </w:p>
    <w:p>
      <w:pPr>
        <w:pStyle w:val="FirstParagraph"/>
      </w:pPr>
      <w:r>
        <w:t xml:space="preserve">The pharmaceutical market in Germany is highly regulated yet growing, with Frankfurt serving as a critical hub where 35% of German banks and multinational headquarters are located. This creates an underserved segment of affluent professionals requiring premium healthcare services beyond standard pharmacy offerings. Current competitor analysis reveals that major chains (DM Drogerie Markt, Rossmann) dominate price-sensitive segments but lack personalized care, while independent pharmacies struggle with digital integration. A 2023 Statista report confirms Frankfurt's pharmacy market growth at 4.7% annually, driven by aging demographics and rising chronic conditions (diabetes, hypertension). Crucially, only 12% of pharmacies in Germany Frankfurt offer integrated medication therapy management—a key gap our Marketing Plan targets.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Health-Conscious Professionals (60%)</w:t>
      </w:r>
      <w:r>
        <w:t xml:space="preserve">: Executives and employees at Deutsche Börse, DHL, and financial institutions requiring time-efficient medication management with minimal disruption to work schedules.</w:t>
      </w:r>
    </w:p>
    <w:p>
      <w:pPr>
        <w:numPr>
          <w:ilvl w:val="0"/>
          <w:numId w:val="1001"/>
        </w:numPr>
        <w:pStyle w:val="Compact"/>
      </w:pPr>
      <w:r>
        <w:rPr>
          <w:bCs/>
          <w:b/>
        </w:rPr>
        <w:t xml:space="preserve">Aging Population (25%)</w:t>
      </w:r>
      <w:r>
        <w:t xml:space="preserve">: Residents in Frankfurt's Westend and Bornheim districts managing multiple chronic conditions needing coordinated care.</w:t>
      </w:r>
    </w:p>
    <w:p>
      <w:pPr>
        <w:numPr>
          <w:ilvl w:val="0"/>
          <w:numId w:val="1001"/>
        </w:numPr>
        <w:pStyle w:val="Compact"/>
      </w:pPr>
      <w:r>
        <w:rPr>
          <w:bCs/>
          <w:b/>
        </w:rPr>
        <w:t xml:space="preserve">Corporate Wellness Partners (15%)</w:t>
      </w:r>
      <w:r>
        <w:t xml:space="preserve">: Businesses seeking pharmacy partnerships for employee health programs, targeting Frankfurt's 300+ multinational corporations.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among target professional demographics within Frankfurt city limits</w:t>
      </w:r>
    </w:p>
    <w:p>
      <w:pPr>
        <w:numPr>
          <w:ilvl w:val="0"/>
          <w:numId w:val="1002"/>
        </w:numPr>
        <w:pStyle w:val="Compact"/>
      </w:pPr>
      <w:r>
        <w:t xml:space="preserve">Secure 15 corporate partnerships with major Frankfurt businesses by Q4</w:t>
      </w:r>
    </w:p>
    <w:p>
      <w:pPr>
        <w:numPr>
          <w:ilvl w:val="0"/>
          <w:numId w:val="1002"/>
        </w:numPr>
        <w:pStyle w:val="Compact"/>
      </w:pPr>
      <w:r>
        <w:t xml:space="preserve">Attain 90% customer retention rate through personalized medication management services</w:t>
      </w:r>
    </w:p>
    <w:p>
      <w:pPr>
        <w:numPr>
          <w:ilvl w:val="0"/>
          <w:numId w:val="1002"/>
        </w:numPr>
        <w:pStyle w:val="Compact"/>
      </w:pPr>
      <w:r>
        <w:t xml:space="preserve">Establish Frankfurt Chemist as the most digitally advanced pharmacy in Germany (measured via app downloads and online engagement)</w:t>
      </w:r>
    </w:p>
    <w:bookmarkEnd w:id="23"/>
    <w:bookmarkStart w:id="27" w:name="core-strategies-tactics"/>
    <w:p>
      <w:pPr>
        <w:pStyle w:val="Heading2"/>
      </w:pPr>
      <w:r>
        <w:t xml:space="preserve">Core Strategies &amp; Tactics</w:t>
      </w:r>
    </w:p>
    <w:bookmarkStart w:id="24" w:name="hyper-local-community-integration"/>
    <w:p>
      <w:pPr>
        <w:pStyle w:val="Heading3"/>
      </w:pPr>
      <w:r>
        <w:t xml:space="preserve">1. Hyper-Local Community Integration</w:t>
      </w:r>
    </w:p>
    <w:p>
      <w:pPr>
        <w:pStyle w:val="FirstParagraph"/>
      </w:pPr>
      <w:r>
        <w:t xml:space="preserve">We will establish "Frankfurt Chemist" as a community health hub through:</w:t>
      </w:r>
    </w:p>
    <w:p>
      <w:pPr>
        <w:numPr>
          <w:ilvl w:val="0"/>
          <w:numId w:val="1003"/>
        </w:numPr>
        <w:pStyle w:val="Compact"/>
      </w:pPr>
      <w:r>
        <w:t xml:space="preserve">Free weekly wellness workshops at the pharmacy (e.g., "Managing Diabetes in High-Stress Jobs") co-hosted with Frankfurt University Hospital.</w:t>
      </w:r>
    </w:p>
    <w:p>
      <w:pPr>
        <w:numPr>
          <w:ilvl w:val="0"/>
          <w:numId w:val="1003"/>
        </w:numPr>
        <w:pStyle w:val="Compact"/>
      </w:pPr>
      <w:r>
        <w:t xml:space="preserve">Partnerships with Frankfurt's 120+ corporate offices for on-site flu vaccination drives during peak business seasons.</w:t>
      </w:r>
    </w:p>
    <w:p>
      <w:pPr>
        <w:numPr>
          <w:ilvl w:val="0"/>
          <w:numId w:val="1003"/>
        </w:numPr>
        <w:pStyle w:val="Compact"/>
      </w:pPr>
      <w:r>
        <w:t xml:space="preserve">Sponsorship of Frankfurt's annual "Health &amp; Finance Summit" to position ourselves as the pharmacy brand aligned with financial district health priorities.</w:t>
      </w:r>
    </w:p>
    <w:bookmarkEnd w:id="24"/>
    <w:bookmarkStart w:id="25" w:name="digital-transformation-strategy"/>
    <w:p>
      <w:pPr>
        <w:pStyle w:val="Heading3"/>
      </w:pPr>
      <w:r>
        <w:t xml:space="preserve">2. Digital Transformation Strategy</w:t>
      </w:r>
    </w:p>
    <w:p>
      <w:pPr>
        <w:pStyle w:val="FirstParagraph"/>
      </w:pPr>
      <w:r>
        <w:t xml:space="preserve">Addressing Germany's strong digital adoption (87% smartphone penetration), our mobile app will feature:</w:t>
      </w:r>
    </w:p>
    <w:p>
      <w:pPr>
        <w:numPr>
          <w:ilvl w:val="0"/>
          <w:numId w:val="1004"/>
        </w:numPr>
        <w:pStyle w:val="Compact"/>
      </w:pPr>
      <w:r>
        <w:rPr>
          <w:bCs/>
          <w:b/>
        </w:rPr>
        <w:t xml:space="preserve">Medication Reminder Integration</w:t>
      </w:r>
      <w:r>
        <w:t xml:space="preserve">: Syncs with German health apps like "Mein Gesundheitspass" for personalized alerts.</w:t>
      </w:r>
    </w:p>
    <w:p>
      <w:pPr>
        <w:numPr>
          <w:ilvl w:val="0"/>
          <w:numId w:val="1004"/>
        </w:numPr>
        <w:pStyle w:val="Compact"/>
      </w:pPr>
      <w:r>
        <w:rPr>
          <w:bCs/>
          <w:b/>
        </w:rPr>
        <w:t xml:space="preserve">Clinical Decision Support</w:t>
      </w:r>
      <w:r>
        <w:t xml:space="preserve">: AI-powered interaction checks to prevent drug interactions, approved by the German Federal Institute for Drugs and Medical Devices (BfArM).</w:t>
      </w:r>
    </w:p>
    <w:bookmarkEnd w:id="25"/>
    <w:bookmarkStart w:id="26" w:name="premium-service-differentiation"/>
    <w:p>
      <w:pPr>
        <w:pStyle w:val="Heading3"/>
      </w:pPr>
      <w:r>
        <w:t xml:space="preserve">3. Premium Service Differentiation</w:t>
      </w:r>
    </w:p>
    <w:p>
      <w:pPr>
        <w:pStyle w:val="FirstParagraph"/>
      </w:pPr>
      <w:r>
        <w:t xml:space="preserve">Beyond standard pharmacy services, Frankfurt Chemist will offer:</w:t>
      </w:r>
    </w:p>
    <w:p>
      <w:pPr>
        <w:numPr>
          <w:ilvl w:val="0"/>
          <w:numId w:val="1005"/>
        </w:numPr>
        <w:pStyle w:val="Compact"/>
      </w:pPr>
      <w:r>
        <w:rPr>
          <w:bCs/>
          <w:b/>
        </w:rPr>
        <w:t xml:space="preserve">24/7 Emergency Medication Delivery</w:t>
      </w:r>
      <w:r>
        <w:t xml:space="preserve">: Leveraging Frankfurt's efficient logistics network for same-day delivery within the city center.</w:t>
      </w:r>
    </w:p>
    <w:p>
      <w:pPr>
        <w:numPr>
          <w:ilvl w:val="0"/>
          <w:numId w:val="1005"/>
        </w:numPr>
        <w:pStyle w:val="Compact"/>
      </w:pPr>
      <w:r>
        <w:rPr>
          <w:bCs/>
          <w:b/>
        </w:rPr>
        <w:t xml:space="preserve">Chronic Condition Management Programs</w:t>
      </w:r>
      <w:r>
        <w:t xml:space="preserve">: Personalized care plans for diabetes and cardiovascular patients with biometric tracking, developed in collaboration with Frankfurt Medical Association.</w:t>
      </w:r>
    </w:p>
    <w:p>
      <w:pPr>
        <w:numPr>
          <w:ilvl w:val="0"/>
          <w:numId w:val="1005"/>
        </w:numPr>
        <w:pStyle w:val="Compact"/>
      </w:pPr>
      <w:r>
        <w:rPr>
          <w:bCs/>
          <w:b/>
        </w:rPr>
        <w:t xml:space="preserve">Pharmacist-Only Consultations</w:t>
      </w:r>
      <w:r>
        <w:t xml:space="preserve">: Extended 30-minute slots for complex medication regimes (uncommon at standard pharmacies in Germany).</w:t>
      </w:r>
    </w:p>
    <w:bookmarkEnd w:id="26"/>
    <w:bookmarkEnd w:id="27"/>
    <w:bookmarkStart w:id="28" w:name="budget-allocation"/>
    <w:p>
      <w:pPr>
        <w:pStyle w:val="Heading2"/>
      </w:pPr>
      <w:r>
        <w:t xml:space="preserve">Budget Allocation</w:t>
      </w:r>
    </w:p>
    <w:p>
      <w:pPr>
        <w:pStyle w:val="FirstParagraph"/>
      </w:pPr>
      <w:r>
        <w:t xml:space="preserve">Total Year 1 Investment: €425,000</w:t>
      </w:r>
    </w:p>
    <w:p>
      <w:pPr>
        <w:numPr>
          <w:ilvl w:val="0"/>
          <w:numId w:val="1006"/>
        </w:numPr>
        <w:pStyle w:val="Compact"/>
      </w:pPr>
      <w:r>
        <w:t xml:space="preserve">Digital Platform Development: €185,000 (65% of budget)</w:t>
      </w:r>
    </w:p>
    <w:p>
      <w:pPr>
        <w:numPr>
          <w:ilvl w:val="0"/>
          <w:numId w:val="1006"/>
        </w:numPr>
        <w:pStyle w:val="Compact"/>
      </w:pPr>
      <w:r>
        <w:t xml:space="preserve">Community Engagement &amp; Partnerships: €142,500 (33.5%)</w:t>
      </w:r>
    </w:p>
    <w:p>
      <w:pPr>
        <w:numPr>
          <w:ilvl w:val="0"/>
          <w:numId w:val="1006"/>
        </w:numPr>
        <w:pStyle w:val="Compact"/>
      </w:pPr>
      <w:r>
        <w:t xml:space="preserve">Brand Launch Campaigns (Digital/Local Media): €97,500 (23%)</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Brand launch, app beta testing with Frankfurt corporate partners, pharmacy staff training on German pharmaceutical compliance (PharmGKB standards)</w:t>
      </w:r>
    </w:p>
    <w:p>
      <w:pPr>
        <w:pStyle w:val="BodyText"/>
      </w:pPr>
      <w:r>
        <w:t xml:space="preserve">Q2 2024</w:t>
      </w:r>
    </w:p>
    <w:p>
      <w:pPr>
        <w:pStyle w:val="BodyText"/>
      </w:pPr>
      <w:r>
        <w:t xml:space="preserve">Corporate partnership drive targeting DAX companies in Frankfurt; wellness workshop series begins</w:t>
      </w:r>
    </w:p>
    <w:p>
      <w:pPr>
        <w:pStyle w:val="BodyText"/>
      </w:pPr>
      <w:r>
        <w:t xml:space="preserve">Q3 2024</w:t>
      </w:r>
    </w:p>
    <w:p>
      <w:pPr>
        <w:pStyle w:val="BodyText"/>
      </w:pPr>
      <w:r>
        <w:t xml:space="preserve">Leverage "Health &amp; Finance Summit" for brand visibility; launch chronic disease management pilot with 500 patients</w:t>
      </w:r>
    </w:p>
    <w:p>
      <w:pPr>
        <w:pStyle w:val="BodyText"/>
      </w:pPr>
      <w:r>
        <w:t xml:space="preserve">Q4 2024</w:t>
      </w:r>
    </w:p>
    <w:p>
      <w:pPr>
        <w:pStyle w:val="BodyText"/>
      </w:pPr>
      <w:r>
        <w:t xml:space="preserve">Corporate wellness program expansion; customer retention analysis and service optimization based on German healthcare data standards (DRG)</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7"/>
        </w:numPr>
        <w:pStyle w:val="Compact"/>
      </w:pPr>
      <w:r>
        <w:rPr>
          <w:bCs/>
          <w:b/>
        </w:rPr>
        <w:t xml:space="preserve">Quantitative Metrics</w:t>
      </w:r>
      <w:r>
        <w:t xml:space="preserve">: App adoption rate (target: 15,000 downloads), corporate partnership growth (15+ by year-end), prescription volume increase (32% YoY).</w:t>
      </w:r>
    </w:p>
    <w:p>
      <w:pPr>
        <w:numPr>
          <w:ilvl w:val="0"/>
          <w:numId w:val="1007"/>
        </w:numPr>
        <w:pStyle w:val="Compact"/>
      </w:pPr>
      <w:r>
        <w:rPr>
          <w:bCs/>
          <w:b/>
        </w:rPr>
        <w:t xml:space="preserve">Qualitative Metrics</w:t>
      </w:r>
      <w:r>
        <w:t xml:space="preserve">: Patient satisfaction surveys via Germany's standard "Patientenbefragung" framework; brand perception studies in Frankfurt business circles.</w:t>
      </w:r>
    </w:p>
    <w:p>
      <w:pPr>
        <w:numPr>
          <w:ilvl w:val="0"/>
          <w:numId w:val="1007"/>
        </w:numPr>
        <w:pStyle w:val="Compact"/>
      </w:pPr>
      <w:r>
        <w:rPr>
          <w:bCs/>
          <w:b/>
        </w:rPr>
        <w:t xml:space="preserve">Compliance Tracking</w:t>
      </w:r>
      <w:r>
        <w:t xml:space="preserve">: Monthly audits against German Pharmaceutical Act (AMG) and GDPR requirements to ensure service integrity.</w:t>
      </w:r>
    </w:p>
    <w:bookmarkEnd w:id="30"/>
    <w:bookmarkStart w:id="31" w:name="X742ee8fa92c57f96b458e0bd952b806d50e7344"/>
    <w:p>
      <w:pPr>
        <w:pStyle w:val="Heading2"/>
      </w:pPr>
      <w:r>
        <w:t xml:space="preserve">Why This Marketing Plan Succeeds in Germany Frankfurt</w:t>
      </w:r>
    </w:p>
    <w:p>
      <w:pPr>
        <w:pStyle w:val="FirstParagraph"/>
      </w:pPr>
      <w:r>
        <w:t xml:space="preserve">This strategy directly addresses the unique healthcare ecosystem of Germany Frankfurt where business efficiency and premium services intersect. Unlike generic pharmacy chains, our focus on corporate partnerships leverages Frankfurt's status as Europe's top financial center—turning medication management into a productivity tool for businesses. The integration of digital health solutions meets Germany's national "Digital Health Act" (DVG) requirements while delivering the personalized experience missing in standard German pharmacies. By anchoring our brand in Frankfurt's economic identity ("Where Finance Meets Wellness"), we transform the Chemist from a transactional service into an essential business partner.</w:t>
      </w:r>
    </w:p>
    <w:bookmarkEnd w:id="31"/>
    <w:bookmarkStart w:id="32" w:name="conclusion"/>
    <w:p>
      <w:pPr>
        <w:pStyle w:val="Heading2"/>
      </w:pPr>
      <w:r>
        <w:t xml:space="preserve">Conclusion</w:t>
      </w:r>
    </w:p>
    <w:p>
      <w:pPr>
        <w:pStyle w:val="FirstParagraph"/>
      </w:pPr>
      <w:r>
        <w:t xml:space="preserve">The Frankfurt Chemist Marketing Plan delivers a scalable, compliant blueprint for dominating Germany's most lucrative pharmacy market segment. By merging German regulatory excellence with hyper-local community engagement and digital innovation, we position our pharmacy as the indispensable health partner for Frankfurt's professional elite—proving that in Germany Frankfurt, premium healthcare isn't just delivered; it's integrated into the city's economic heartbeat. This plan ensures that every marketing dollar drives measurable growth while upholding Germany's highest standards of pharmaceutical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Frankfurt Chemist Pharmacy</dc:title>
  <dc:creator/>
  <dc:language>en</dc:language>
  <cp:keywords/>
  <dcterms:created xsi:type="dcterms:W3CDTF">2026-07-23T08:46:09Z</dcterms:created>
  <dcterms:modified xsi:type="dcterms:W3CDTF">2026-07-23T08:46:09Z</dcterms:modified>
</cp:coreProperties>
</file>

<file path=docProps/custom.xml><?xml version="1.0" encoding="utf-8"?>
<Properties xmlns="http://schemas.openxmlformats.org/officeDocument/2006/custom-properties" xmlns:vt="http://schemas.openxmlformats.org/officeDocument/2006/docPropsVTypes"/>
</file>