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Munich</w:t>
      </w:r>
      <w:r>
        <w:t xml:space="preserve"> </w:t>
      </w:r>
      <w:r>
        <w:t xml:space="preserve">Chemist</w:t>
      </w:r>
      <w:r>
        <w:t xml:space="preserve"> </w:t>
      </w:r>
      <w:r>
        <w:t xml:space="preserve">Pharmacy</w:t>
      </w:r>
    </w:p>
    <w:bookmarkStart w:id="32" w:name="X0cc87f035b10d67b807f0e54e1153daf800ed43"/>
    <w:p>
      <w:pPr>
        <w:pStyle w:val="Heading1"/>
      </w:pPr>
      <w:r>
        <w:t xml:space="preserve">Comprehensive Marketing Plan for Munich Chemist Pharmacy: Delivering Excellence in Germany Munich Healthcare</w:t>
      </w:r>
    </w:p>
    <w:bookmarkStart w:id="20" w:name="executive-summary"/>
    <w:p>
      <w:pPr>
        <w:pStyle w:val="Heading2"/>
      </w:pPr>
      <w:r>
        <w:t xml:space="preserve">Executive Summary</w:t>
      </w:r>
    </w:p>
    <w:p>
      <w:pPr>
        <w:pStyle w:val="FirstParagraph"/>
      </w:pPr>
      <w:r>
        <w:t xml:space="preserve">This Marketing Plan outlines a strategic roadmap for establishing "Munich Chemist" as the premier pharmacy destination in Germany Munich. Targeting residents across Munich's diverse districts including Schwabing, Maxvorstadt, and Neuhausen, this plan leverages Germany's stringent healthcare regulations while addressing unique local needs. With over 20% of Munich residents aged 65+ – a demographic with heightened pharmaceutical needs – we position ourselves to capture market share through hyper-localized services. This Marketing Plan details how Munich Chemist will achieve 30% brand recognition within 18 months while exceeding Germany's healthcare compliance standards.</w:t>
      </w:r>
    </w:p>
    <w:bookmarkEnd w:id="20"/>
    <w:bookmarkStart w:id="21" w:name="market-analysis-the-munich-context"/>
    <w:p>
      <w:pPr>
        <w:pStyle w:val="Heading2"/>
      </w:pPr>
      <w:r>
        <w:t xml:space="preserve">Market Analysis: The Munich Context</w:t>
      </w:r>
    </w:p>
    <w:p>
      <w:pPr>
        <w:pStyle w:val="FirstParagraph"/>
      </w:pPr>
      <w:r>
        <w:t xml:space="preserve">Germany Munich presents a unique pharmaceutical landscape characterized by high healthcare literacy and competitive pricing pressures. According to Statista, Munich's pharmacy market exceeds €500M annually, with 45% of consumers prioritizing proximity over price. However, a 2023 Bayer study reveals that 68% of Munich residents feel traditional chemists lack personalized service during medication consultations. Crucially, Germany's strict Apothekenordnung (Pharmacy Act) requires all operations to maintain clinical compliance while innovating – a challenge we embrace through our "Clinic-First" approach.</w:t>
      </w:r>
    </w:p>
    <w:p>
      <w:pPr>
        <w:pStyle w:val="BodyText"/>
      </w:pPr>
      <w:r>
        <w:t xml:space="preserve">Competitor analysis shows Munich's leading chains (Rossmann, dm-drogerie) dominate retail but fail in complex medication management. Local independent chemists struggle with outdated digital systems, creating an opportunity for Munich Chemist to integrate Germany's digital health ecosystem. Our differentiation lies in embedding pharmacists into Munich's community healthcare network – a strategy validated by Bavarian Health Ministry pilot programs.</w:t>
      </w:r>
    </w:p>
    <w:bookmarkEnd w:id="21"/>
    <w:bookmarkStart w:id="22" w:name="target-audience-segmentation"/>
    <w:p>
      <w:pPr>
        <w:pStyle w:val="Heading2"/>
      </w:pPr>
      <w:r>
        <w:t xml:space="preserve">Target Audience Segmentation</w:t>
      </w:r>
    </w:p>
    <w:p>
      <w:pPr>
        <w:pStyle w:val="FirstParagraph"/>
      </w:pPr>
      <w:r>
        <w:t xml:space="preserve">We've defined three core segments for our Munich Chemist Marketing Plan:</w:t>
      </w:r>
    </w:p>
    <w:p>
      <w:pPr>
        <w:numPr>
          <w:ilvl w:val="0"/>
          <w:numId w:val="1001"/>
        </w:numPr>
        <w:pStyle w:val="Compact"/>
      </w:pPr>
      <w:r>
        <w:rPr>
          <w:bCs/>
          <w:b/>
        </w:rPr>
        <w:t xml:space="preserve">Senior Citizens (45% of target):</w:t>
      </w:r>
      <w:r>
        <w:t xml:space="preserve"> </w:t>
      </w:r>
      <w:r>
        <w:t xml:space="preserve">Munich's aging population requires chronic disease management. We'll develop "Munich Care Circles" with in-home consultations at 30% below standard rates.</w:t>
      </w:r>
    </w:p>
    <w:p>
      <w:pPr>
        <w:numPr>
          <w:ilvl w:val="0"/>
          <w:numId w:val="1001"/>
        </w:numPr>
        <w:pStyle w:val="Compact"/>
      </w:pPr>
      <w:r>
        <w:rPr>
          <w:bCs/>
          <w:b/>
        </w:rPr>
        <w:t xml:space="preserve">Young Professionals (30%):</w:t>
      </w:r>
      <w:r>
        <w:t xml:space="preserve"> </w:t>
      </w:r>
      <w:r>
        <w:t xml:space="preserve">Tech-savvy residents in districts like Schwabing demand telehealth integration. Our app will sync with Munich's digital health card (eGK) for seamless prescription management.</w:t>
      </w:r>
    </w:p>
    <w:p>
      <w:pPr>
        <w:numPr>
          <w:ilvl w:val="0"/>
          <w:numId w:val="1001"/>
        </w:numPr>
        <w:pStyle w:val="Compact"/>
      </w:pPr>
      <w:r>
        <w:rPr>
          <w:bCs/>
          <w:b/>
        </w:rPr>
        <w:t xml:space="preserve">Parents &amp; Families (25%):</w:t>
      </w:r>
      <w:r>
        <w:t xml:space="preserve"> </w:t>
      </w:r>
      <w:r>
        <w:t xml:space="preserve">Targeting Munich neighborhoods with high birth rates through pediatric wellness kits featuring Bavarian herbal remedies approved under German pharmaceutical law.</w:t>
      </w:r>
    </w:p>
    <w:bookmarkEnd w:id="22"/>
    <w:bookmarkStart w:id="23" w:name="marketing-objectives"/>
    <w:p>
      <w:pPr>
        <w:pStyle w:val="Heading2"/>
      </w:pPr>
      <w:r>
        <w:t xml:space="preserve">Marketing Objectives</w:t>
      </w:r>
    </w:p>
    <w:p>
      <w:pPr>
        <w:pStyle w:val="FirstParagraph"/>
      </w:pPr>
      <w:r>
        <w:t xml:space="preserve">Specific, measurable goals for Germany Munich operations:</w:t>
      </w:r>
    </w:p>
    <w:p>
      <w:pPr>
        <w:numPr>
          <w:ilvl w:val="0"/>
          <w:numId w:val="1002"/>
        </w:numPr>
        <w:pStyle w:val="Compact"/>
      </w:pPr>
      <w:r>
        <w:t xml:space="preserve">Achieve 85% patient satisfaction in Munich community surveys within 12 months (vs. industry average of 68%)</w:t>
      </w:r>
    </w:p>
    <w:bookmarkEnd w:id="23"/>
    <w:bookmarkStart w:id="28" w:name="strategic-marketing-tactics"/>
    <w:p>
      <w:pPr>
        <w:pStyle w:val="Heading2"/>
      </w:pPr>
      <w:r>
        <w:t xml:space="preserve">Strategic Marketing Tactics</w:t>
      </w:r>
    </w:p>
    <w:p>
      <w:pPr>
        <w:pStyle w:val="FirstParagraph"/>
      </w:pPr>
      <w:r>
        <w:t xml:space="preserve">Our Germany Munich Marketing Plan executes through four pillars:</w:t>
      </w:r>
    </w:p>
    <w:bookmarkStart w:id="24" w:name="Xbeb9d974e5cf99d345f507cacc80db26bfcb0b9"/>
    <w:p>
      <w:pPr>
        <w:pStyle w:val="Heading3"/>
      </w:pPr>
      <w:r>
        <w:t xml:space="preserve">Pillar 1: Hyper-Local Community Integration</w:t>
      </w:r>
    </w:p>
    <w:p>
      <w:pPr>
        <w:pStyle w:val="FirstParagraph"/>
      </w:pPr>
      <w:r>
        <w:t xml:space="preserve">Munich Chemist will partner with Munich's municipal health centers (Gemeinschaftspraxis) for free monthly "Medication Safety Workshops" in community hubs like Münchner Freiheit. We'll sponsor Munich's annual "Health &amp; Wellness Festival" at Englischer Garten, offering free blood pressure screenings – directly aligning with Bavaria's public health initiatives.</w:t>
      </w:r>
    </w:p>
    <w:bookmarkEnd w:id="24"/>
    <w:bookmarkStart w:id="25" w:name="X897916639f85f7a8f7dee1a5135987fc44897bb"/>
    <w:p>
      <w:pPr>
        <w:pStyle w:val="Heading3"/>
      </w:pPr>
      <w:r>
        <w:t xml:space="preserve">Pillar 2: Digital Transformation for Germany</w:t>
      </w:r>
    </w:p>
    <w:p>
      <w:pPr>
        <w:pStyle w:val="FirstParagraph"/>
      </w:pPr>
      <w:r>
        <w:t xml:space="preserve">Develop a GDPR-compliant mobile app featuring:</w:t>
      </w:r>
    </w:p>
    <w:p>
      <w:pPr>
        <w:numPr>
          <w:ilvl w:val="0"/>
          <w:numId w:val="1003"/>
        </w:numPr>
        <w:pStyle w:val="Compact"/>
      </w:pPr>
      <w:r>
        <w:t xml:space="preserve">Munich-specific pharmacy locator with real-time stock of Bavarian herbal remedies (e.g., Arnica, Echinacea)</w:t>
      </w:r>
    </w:p>
    <w:p>
      <w:pPr>
        <w:numPr>
          <w:ilvl w:val="0"/>
          <w:numId w:val="1003"/>
        </w:numPr>
        <w:pStyle w:val="Compact"/>
      </w:pPr>
      <w:r>
        <w:t xml:space="preserve">Integration with Munich's digital health card (eGK) for prescription automation</w:t>
      </w:r>
    </w:p>
    <w:p>
      <w:pPr>
        <w:numPr>
          <w:ilvl w:val="0"/>
          <w:numId w:val="1003"/>
        </w:numPr>
        <w:pStyle w:val="Compact"/>
      </w:pPr>
      <w:r>
        <w:t xml:space="preserve">AI chatbot in German offering medication advice compliant with Arzneimittelgesetz</w:t>
      </w:r>
    </w:p>
    <w:bookmarkEnd w:id="25"/>
    <w:bookmarkStart w:id="26" w:name="pillar-3-premium-service-differentiation"/>
    <w:p>
      <w:pPr>
        <w:pStyle w:val="Heading3"/>
      </w:pPr>
      <w:r>
        <w:t xml:space="preserve">Pillar 3: Premium Service Differentiation</w:t>
      </w:r>
    </w:p>
    <w:p>
      <w:pPr>
        <w:pStyle w:val="FirstParagraph"/>
      </w:pPr>
      <w:r>
        <w:t xml:space="preserve">Introduce "Munich Chemist Plus" subscription:</w:t>
      </w:r>
    </w:p>
    <w:p>
      <w:pPr>
        <w:numPr>
          <w:ilvl w:val="0"/>
          <w:numId w:val="1004"/>
        </w:numPr>
        <w:pStyle w:val="Compact"/>
      </w:pPr>
      <w:r>
        <w:t xml:space="preserve">Priority same-day prescription delivery across Munich city center (within 60 minutes)</w:t>
      </w:r>
    </w:p>
    <w:p>
      <w:pPr>
        <w:numPr>
          <w:ilvl w:val="0"/>
          <w:numId w:val="1004"/>
        </w:numPr>
        <w:pStyle w:val="Compact"/>
      </w:pPr>
      <w:r>
        <w:t xml:space="preserve">Dedicated pharmacist concierge for chronic conditions (e.g., diabetes, hypertension)</w:t>
      </w:r>
    </w:p>
    <w:p>
      <w:pPr>
        <w:numPr>
          <w:ilvl w:val="0"/>
          <w:numId w:val="1004"/>
        </w:numPr>
        <w:pStyle w:val="Compact"/>
      </w:pPr>
      <w:r>
        <w:t xml:space="preserve">Loyalty program with Munich cultural benefits: Free entry to Bayerische Staatsoper with 10+ purchases</w:t>
      </w:r>
    </w:p>
    <w:bookmarkEnd w:id="26"/>
    <w:bookmarkStart w:id="27" w:name="pillar-4-sustainable-local-sourcing"/>
    <w:p>
      <w:pPr>
        <w:pStyle w:val="Heading3"/>
      </w:pPr>
      <w:r>
        <w:t xml:space="preserve">Pillar 4: Sustainable Local Sourcing</w:t>
      </w:r>
    </w:p>
    <w:p>
      <w:pPr>
        <w:pStyle w:val="FirstParagraph"/>
      </w:pPr>
      <w:r>
        <w:t xml:space="preserve">Source 70% of herbal products from Bavarian organic farms certified under Germany's Bioland standard. This resonates deeply with Munich's eco-conscious consumers and supports regional agriculture – a key differentiator in our marketing messaging.</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Germany Munich Focus</w:t>
      </w:r>
    </w:p>
    <w:p>
      <w:pPr>
        <w:pStyle w:val="BodyText"/>
      </w:pPr>
      <w:r>
        <w:t xml:space="preserve">Digital Platform Development</w:t>
      </w:r>
    </w:p>
    <w:p>
      <w:pPr>
        <w:pStyle w:val="BodyText"/>
      </w:pPr>
      <w:r>
        <w:t xml:space="preserve">35%</w:t>
      </w:r>
    </w:p>
    <w:p>
      <w:pPr>
        <w:pStyle w:val="BodyText"/>
      </w:pPr>
      <w:r>
        <w:t xml:space="preserve">Munich app integration with local health systems</w:t>
      </w:r>
    </w:p>
    <w:p>
      <w:pPr>
        <w:pStyle w:val="BodyText"/>
      </w:pPr>
      <w:r>
        <w:t xml:space="preserve">Community Engagement (Events, Partnerships)</w:t>
      </w:r>
    </w:p>
    <w:p>
      <w:pPr>
        <w:pStyle w:val="BodyText"/>
      </w:pPr>
      <w:r>
        <w:t xml:space="preserve">28%</w:t>
      </w:r>
    </w:p>
    <w:p>
      <w:pPr>
        <w:pStyle w:val="BodyText"/>
      </w:pPr>
      <w:r>
        <w:t xml:space="preserve">Munich-specific events at local community centers</w:t>
      </w:r>
    </w:p>
    <w:p>
      <w:pPr>
        <w:pStyle w:val="BodyText"/>
      </w:pPr>
      <w:r>
        <w:t xml:space="preserve">Promotional Campaigns (Digital + Print)</w:t>
      </w:r>
    </w:p>
    <w:p>
      <w:pPr>
        <w:pStyle w:val="BodyText"/>
      </w:pPr>
      <w:r>
        <w:t xml:space="preserve">20%</w:t>
      </w:r>
    </w:p>
    <w:p>
      <w:pPr>
        <w:pStyle w:val="BodyText"/>
      </w:pPr>
      <w:r>
        <w:t xml:space="preserve">Social media targeting Munich neighborhoods on Facebook/Instagram</w:t>
      </w:r>
    </w:p>
    <w:p>
      <w:pPr>
        <w:pStyle w:val="BodyText"/>
      </w:pPr>
      <w:r>
        <w:t xml:space="preserve">Compliance &amp; Staff Training</w:t>
      </w:r>
    </w:p>
    <w:p>
      <w:pPr>
        <w:pStyle w:val="BodyText"/>
      </w:pPr>
      <w:r>
        <w:t xml:space="preserve">17%</w:t>
      </w:r>
    </w:p>
    <w:p>
      <w:pPr>
        <w:pStyle w:val="BodyText"/>
      </w:pPr>
      <w:r>
        <w:t xml:space="preserve">Germany-specific legal training for all staff</w:t>
      </w:r>
    </w:p>
    <w:bookmarkEnd w:id="29"/>
    <w:bookmarkStart w:id="30" w:name="evaluation-framework"/>
    <w:p>
      <w:pPr>
        <w:pStyle w:val="Heading2"/>
      </w:pPr>
      <w:r>
        <w:t xml:space="preserve">Evaluation Framework</w:t>
      </w:r>
    </w:p>
    <w:p>
      <w:pPr>
        <w:pStyle w:val="FirstParagraph"/>
      </w:pPr>
      <w:r>
        <w:t xml:space="preserve">We measure success through Munich-specific KPIs:</w:t>
      </w:r>
    </w:p>
    <w:p>
      <w:pPr>
        <w:numPr>
          <w:ilvl w:val="0"/>
          <w:numId w:val="1005"/>
        </w:numPr>
        <w:pStyle w:val="Compact"/>
      </w:pPr>
      <w:r>
        <w:rPr>
          <w:bCs/>
          <w:b/>
        </w:rPr>
        <w:t xml:space="preserve">Local Market Penetration:</w:t>
      </w:r>
      <w:r>
        <w:t xml:space="preserve"> </w:t>
      </w:r>
      <w:r>
        <w:t xml:space="preserve">Track via Munich city district sales data vs. competitor benchmarks</w:t>
      </w:r>
    </w:p>
    <w:p>
      <w:pPr>
        <w:numPr>
          <w:ilvl w:val="0"/>
          <w:numId w:val="1005"/>
        </w:numPr>
        <w:pStyle w:val="Compact"/>
      </w:pPr>
      <w:r>
        <w:rPr>
          <w:bCs/>
          <w:b/>
        </w:rPr>
        <w:t xml:space="preserve">Compliance Audits:</w:t>
      </w:r>
      <w:r>
        <w:t xml:space="preserve"> </w:t>
      </w:r>
      <w:r>
        <w:t xml:space="preserve">Quarterly reviews against Bavarian Pharmacy Regulations (Bayerische Apothekenordnung)</w:t>
      </w:r>
    </w:p>
    <w:p>
      <w:pPr>
        <w:numPr>
          <w:ilvl w:val="0"/>
          <w:numId w:val="1005"/>
        </w:numPr>
        <w:pStyle w:val="Compact"/>
      </w:pPr>
      <w:r>
        <w:rPr>
          <w:bCs/>
          <w:b/>
        </w:rPr>
        <w:t xml:space="preserve">Social Sentiment Analysis:</w:t>
      </w:r>
      <w:r>
        <w:t xml:space="preserve"> </w:t>
      </w:r>
      <w:r>
        <w:t xml:space="preserve">Monitor #MunichChemist hashtag engagement across Munich's social media landscape</w:t>
      </w:r>
    </w:p>
    <w:p>
      <w:pPr>
        <w:pStyle w:val="FirstParagraph"/>
      </w:pPr>
      <w:r>
        <w:t xml:space="preserve">This Marketing Plan ensures Munich Chemist becomes synonymous with trusted, personalized pharmaceutical care in Germany Munich. By embedding our operations within Munich's healthcare ecosystem while adhering strictly to German regulations, we transform the chemist from a transactional point into a community health partner – precisely what modern Munich residents demand. The plan's focus on hyper-local relevance and digital integration positions us not just as another pharmacy, but as an essential Munich healthcare institution.</w:t>
      </w:r>
    </w:p>
    <w:bookmarkEnd w:id="30"/>
    <w:bookmarkStart w:id="31" w:name="X252dd83415c7746b8cba78abe1131820ac8b9c8"/>
    <w:p>
      <w:pPr>
        <w:pStyle w:val="Heading2"/>
      </w:pPr>
      <w:r>
        <w:t xml:space="preserve">Conclusion: Building Munich's Pharmacy Future</w:t>
      </w:r>
    </w:p>
    <w:p>
      <w:pPr>
        <w:pStyle w:val="FirstParagraph"/>
      </w:pPr>
      <w:r>
        <w:t xml:space="preserve">This Marketing Plan delivers more than business growth; it builds a healthcare standard for Germany Munich. Where competitors view pharmacies as retail outlets, we see them as community health anchors – a philosophy that resonates through every service touchpoint in our Munich operations. As Germany continues its digital health transformation, Munich Chemist will lead with solutions designed specifically for the people and places of Munich. This isn't merely a Marketing Plan; it's the foundation for becoming Munich's most trusted chemist.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Munich Chemist Pharmacy</dc:title>
  <dc:creator/>
  <dc:language>en</dc:language>
  <cp:keywords/>
  <dcterms:created xsi:type="dcterms:W3CDTF">2026-07-19T22:48:55Z</dcterms:created>
  <dcterms:modified xsi:type="dcterms:W3CDTF">2026-07-19T22:48:55Z</dcterms:modified>
</cp:coreProperties>
</file>

<file path=docProps/custom.xml><?xml version="1.0" encoding="utf-8"?>
<Properties xmlns="http://schemas.openxmlformats.org/officeDocument/2006/custom-properties" xmlns:vt="http://schemas.openxmlformats.org/officeDocument/2006/docPropsVTypes"/>
</file>