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43add6d1538b0961b38efd32cbeb2f7700403d8"/>
    <w:p>
      <w:pPr>
        <w:pStyle w:val="Heading1"/>
      </w:pPr>
      <w:r>
        <w:t xml:space="preserve">Comprehensive Marketing Plan for Chemist Pharmacy: Dominating the Healthcare Market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Chemist pharmacy chain across Malaysia Kuala Lumpur. Targeting the rapidly growing healthcare sector in one of Southeast Asia's most dynamic urban centers, this plan leverages Kuala Lumpur's unique demographic and market conditions to position our Chemist brand as the preferred healthcare destination. With 70% of Malaysians using pharmacies for primary care (Ministry of Health Malaysia, 2023), our strategy focuses on transforming traditional Chemist operations into a tech-driven health ecosystem that addresses Kuala Lumpur's urban health challenges while driving sustainable growth across Malaysia.</w:t>
      </w:r>
    </w:p>
    <w:bookmarkEnd w:id="20"/>
    <w:bookmarkStart w:id="21" w:name="X7a10a3c87f1be4aaed36b221f43f9ce750a839d"/>
    <w:p>
      <w:pPr>
        <w:pStyle w:val="Heading2"/>
      </w:pPr>
      <w:r>
        <w:t xml:space="preserve">Situation Analysis: The Chemist Landscape in Malaysia Kuala Lumpur</w:t>
      </w:r>
    </w:p>
    <w:p>
      <w:pPr>
        <w:pStyle w:val="FirstParagraph"/>
      </w:pPr>
      <w:r>
        <w:t xml:space="preserve">Malaysia Kuala Lumpur presents a high-potential market with 18.5 million residents and rising healthcare expenditure (RM 47 billion in 2023). However, the Chemist sector faces challenges including fragmented services, limited digital integration, and inconsistent customer experiences. Competitors like Guardian and Watsons dominate with standardized offerings but lack hyper-localized health solutions for Kuala Lumpur's diverse population. Our analysis reveals three critical opportunities:</w:t>
      </w:r>
    </w:p>
    <w:p>
      <w:pPr>
        <w:numPr>
          <w:ilvl w:val="0"/>
          <w:numId w:val="1001"/>
        </w:numPr>
        <w:pStyle w:val="Compact"/>
      </w:pPr>
      <w:r>
        <w:rPr>
          <w:bCs/>
          <w:b/>
        </w:rPr>
        <w:t xml:space="preserve">Urban Health Gaps:</w:t>
      </w:r>
      <w:r>
        <w:t xml:space="preserve"> </w:t>
      </w:r>
      <w:r>
        <w:t xml:space="preserve">65% of KL residents report difficulty accessing timely health consultations (KPMG Malaysia, 2023)</w:t>
      </w:r>
    </w:p>
    <w:p>
      <w:pPr>
        <w:numPr>
          <w:ilvl w:val="0"/>
          <w:numId w:val="1001"/>
        </w:numPr>
        <w:pStyle w:val="Compact"/>
      </w:pPr>
      <w:r>
        <w:rPr>
          <w:bCs/>
          <w:b/>
        </w:rPr>
        <w:t xml:space="preserve">Digital Adoption:</w:t>
      </w:r>
      <w:r>
        <w:t xml:space="preserve"> </w:t>
      </w:r>
      <w:r>
        <w:t xml:space="preserve">Only 34% of Chemist outlets offer telehealth services in Malaysia Kuala Lumpur</w:t>
      </w:r>
    </w:p>
    <w:p>
      <w:pPr>
        <w:numPr>
          <w:ilvl w:val="0"/>
          <w:numId w:val="1001"/>
        </w:numPr>
        <w:pStyle w:val="Compact"/>
      </w:pPr>
      <w:r>
        <w:rPr>
          <w:bCs/>
          <w:b/>
        </w:rPr>
        <w:t xml:space="preserve">Cultural Alignment:</w:t>
      </w:r>
      <w:r>
        <w:t xml:space="preserve"> </w:t>
      </w:r>
      <w:r>
        <w:t xml:space="preserve">Need for Malay-Chinese-Indian health solutions integrated into local wellness traditions</w:t>
      </w:r>
    </w:p>
    <w:bookmarkEnd w:id="21"/>
    <w:bookmarkStart w:id="22" w:name="marketing-objectives-2024-2026"/>
    <w:p>
      <w:pPr>
        <w:pStyle w:val="Heading2"/>
      </w:pPr>
      <w:r>
        <w:t xml:space="preserve">Marketing Objectives (2024-2026)</w:t>
      </w:r>
    </w:p>
    <w:p>
      <w:pPr>
        <w:pStyle w:val="FirstParagraph"/>
      </w:pPr>
      <w:r>
        <w:t xml:space="preserve">Within 3 years, our Chemist will achieve:</w:t>
      </w:r>
    </w:p>
    <w:p>
      <w:pPr>
        <w:numPr>
          <w:ilvl w:val="0"/>
          <w:numId w:val="1002"/>
        </w:numPr>
        <w:pStyle w:val="Compact"/>
      </w:pPr>
      <w:r>
        <w:t xml:space="preserve">Achieve 15% market share in Kuala Lumpur's pharmacy segment (from current 3% industry average)</w:t>
      </w:r>
    </w:p>
    <w:p>
      <w:pPr>
        <w:numPr>
          <w:ilvl w:val="0"/>
          <w:numId w:val="1002"/>
        </w:numPr>
        <w:pStyle w:val="Compact"/>
      </w:pPr>
      <w:r>
        <w:t xml:space="preserve">Establish 12 strategically located Chemist outlets across KL's high-density zones (Petaling Jaya, Bangsar, Bukit Bintang)</w:t>
      </w:r>
    </w:p>
    <w:p>
      <w:pPr>
        <w:numPr>
          <w:ilvl w:val="0"/>
          <w:numId w:val="1002"/>
        </w:numPr>
        <w:pStyle w:val="Compact"/>
      </w:pPr>
      <w:r>
        <w:t xml:space="preserve">Implement digital health ecosystem serving 50,000 active users by Year 2</w:t>
      </w:r>
    </w:p>
    <w:p>
      <w:pPr>
        <w:numPr>
          <w:ilvl w:val="0"/>
          <w:numId w:val="1002"/>
        </w:numPr>
        <w:pStyle w:val="Compact"/>
      </w:pPr>
      <w:r>
        <w:t xml:space="preserve">Attain 95% customer satisfaction rate through personalized Chemist services</w:t>
      </w:r>
    </w:p>
    <w:bookmarkEnd w:id="22"/>
    <w:bookmarkStart w:id="23" w:name="Xfb829ae42496b5f8603441d694c6808a64786be"/>
    <w:p>
      <w:pPr>
        <w:pStyle w:val="Heading2"/>
      </w:pPr>
      <w:r>
        <w:t xml:space="preserve">Target Audience Segmentation for Malaysia Kuala Lumpur</w:t>
      </w:r>
    </w:p>
    <w:p>
      <w:pPr>
        <w:pStyle w:val="FirstParagraph"/>
      </w:pPr>
      <w:r>
        <w:t xml:space="preserve">Segment</w:t>
      </w:r>
    </w:p>
    <w:p>
      <w:pPr>
        <w:pStyle w:val="BodyText"/>
      </w:pPr>
      <w:r>
        <w:t xml:space="preserve">Characteristics</w:t>
      </w:r>
    </w:p>
    <w:p>
      <w:pPr>
        <w:pStyle w:val="BodyText"/>
      </w:pPr>
      <w:r>
        <w:t xml:space="preserve">Chemist Strategy</w:t>
      </w:r>
    </w:p>
    <w:p>
      <w:pPr>
        <w:pStyle w:val="BodyText"/>
      </w:pPr>
      <w:r>
        <w:t xml:space="preserve">KL Working Professionals (35-45)</w:t>
      </w:r>
    </w:p>
    <w:p>
      <w:pPr>
        <w:pStyle w:val="BodyText"/>
      </w:pPr>
      <w:r>
        <w:t xml:space="preserve">Tech-savvy, time-poor, chronic condition management needs</w:t>
      </w:r>
    </w:p>
    <w:p>
      <w:pPr>
        <w:pStyle w:val="BodyText"/>
      </w:pPr>
      <w:r>
        <w:t xml:space="preserve">Dedicated "Wellness Concierge" service with 24/7 telehealth via Chemist app</w:t>
      </w:r>
    </w:p>
    <w:p>
      <w:pPr>
        <w:pStyle w:val="BodyText"/>
      </w:pPr>
      <w:r>
        <w:t xml:space="preserve">Urban Families (30-50)</w:t>
      </w:r>
    </w:p>
    <w:p>
      <w:pPr>
        <w:pStyle w:val="BodyText"/>
      </w:pPr>
      <w:r>
        <w:t xml:space="preserve">Children's health focus, preventive care emphasis</w:t>
      </w:r>
    </w:p>
    <w:p>
      <w:pPr>
        <w:pStyle w:val="BodyText"/>
      </w:pPr>
      <w:r>
        <w:t xml:space="preserve">Free pediatric wellness clinics at all KL Chemist outlets</w:t>
      </w:r>
    </w:p>
    <w:p>
      <w:pPr>
        <w:pStyle w:val="BodyText"/>
      </w:pPr>
      <w:r>
        <w:t xml:space="preserve">Elderly Population (60+)</w:t>
      </w:r>
    </w:p>
    <w:p>
      <w:pPr>
        <w:pStyle w:val="BodyText"/>
      </w:pPr>
      <w:r>
        <w:br/>
      </w:r>
      <w:r>
        <w:t xml:space="preserve">(5.8% of KL residents)</w:t>
      </w:r>
    </w:p>
    <w:p>
      <w:pPr>
        <w:pStyle w:val="BodyText"/>
      </w:pPr>
      <w:r>
        <w:br/>
      </w:r>
      <w:r>
        <w:t xml:space="preserve">High medication dependency, low digital literacy</w:t>
      </w:r>
    </w:p>
    <w:p>
      <w:pPr>
        <w:pStyle w:val="BodyText"/>
      </w:pPr>
      <w:r>
        <w:t xml:space="preserve">Physical "Aging Well" clinics with in-store pharmacists and home delivery</w:t>
      </w:r>
    </w:p>
    <w:bookmarkEnd w:id="23"/>
    <w:bookmarkStart w:id="28" w:name="X4c6d2b396ddcc5a7b91578a5e584b043b769bfa"/>
    <w:p>
      <w:pPr>
        <w:pStyle w:val="Heading2"/>
      </w:pPr>
      <w:r>
        <w:t xml:space="preserve">Marketing Strategies: The 4Ps for Malaysia's Chemist Revolution</w:t>
      </w:r>
    </w:p>
    <w:bookmarkStart w:id="24" w:name="product-strategy"/>
    <w:p>
      <w:pPr>
        <w:pStyle w:val="Heading3"/>
      </w:pPr>
      <w:r>
        <w:rPr>
          <w:bCs/>
          <w:b/>
        </w:rPr>
        <w:t xml:space="preserve">Product Strategy:</w:t>
      </w:r>
    </w:p>
    <w:p>
      <w:pPr>
        <w:pStyle w:val="FirstParagraph"/>
      </w:pPr>
      <w:r>
        <w:t xml:space="preserve">We redefine the Chemist concept beyond dispensing medicines. Our product ecosystem includes:</w:t>
      </w:r>
    </w:p>
    <w:p>
      <w:pPr>
        <w:numPr>
          <w:ilvl w:val="0"/>
          <w:numId w:val="1003"/>
        </w:numPr>
        <w:pStyle w:val="Compact"/>
      </w:pPr>
      <w:r>
        <w:rPr>
          <w:iCs/>
          <w:i/>
        </w:rPr>
        <w:t xml:space="preserve">KL Health Pass:</w:t>
      </w:r>
      <w:r>
        <w:t xml:space="preserve"> </w:t>
      </w:r>
      <w:r>
        <w:t xml:space="preserve">Digital health record integrated with MySejahtera</w:t>
      </w:r>
    </w:p>
    <w:p>
      <w:pPr>
        <w:numPr>
          <w:ilvl w:val="0"/>
          <w:numId w:val="1003"/>
        </w:numPr>
        <w:pStyle w:val="Compact"/>
      </w:pPr>
      <w:r>
        <w:rPr>
          <w:iCs/>
          <w:i/>
        </w:rPr>
        <w:t xml:space="preserve">Cultural Wellness Kits:</w:t>
      </w:r>
      <w:r>
        <w:t xml:space="preserve"> </w:t>
      </w:r>
      <w:r>
        <w:t xml:space="preserve">Malay herbal remedies, Chinese tonic teas, and Indian Ayurvedic products curated for KL demographics</w:t>
      </w:r>
    </w:p>
    <w:p>
      <w:pPr>
        <w:numPr>
          <w:ilvl w:val="0"/>
          <w:numId w:val="1003"/>
        </w:numPr>
        <w:pStyle w:val="Compact"/>
      </w:pPr>
      <w:r>
        <w:rPr>
          <w:iCs/>
          <w:i/>
        </w:rPr>
        <w:t xml:space="preserve">Elderly Care Package:</w:t>
      </w:r>
      <w:r>
        <w:t xml:space="preserve"> </w:t>
      </w:r>
      <w:r>
        <w:t xml:space="preserve">Medication synchronization + weekly health check-ups at Chemist outlets</w:t>
      </w:r>
    </w:p>
    <w:bookmarkEnd w:id="24"/>
    <w:bookmarkStart w:id="25" w:name="pricing-strategy"/>
    <w:p>
      <w:pPr>
        <w:pStyle w:val="Heading3"/>
      </w:pPr>
      <w:r>
        <w:rPr>
          <w:bCs/>
          <w:b/>
        </w:rPr>
        <w:t xml:space="preserve">Pricing Strategy:</w:t>
      </w:r>
    </w:p>
    <w:p>
      <w:pPr>
        <w:pStyle w:val="FirstParagraph"/>
      </w:pPr>
      <w:r>
        <w:t xml:space="preserve">Value-based pricing aligned with Kuala Lumpur's healthcare affordability index:</w:t>
      </w:r>
    </w:p>
    <w:p>
      <w:pPr>
        <w:numPr>
          <w:ilvl w:val="0"/>
          <w:numId w:val="1004"/>
        </w:numPr>
        <w:pStyle w:val="Compact"/>
      </w:pPr>
      <w:r>
        <w:t xml:space="preserve">Premium tier (20% above competitors): Includes telehealth + personalized wellness plans</w:t>
      </w:r>
    </w:p>
    <w:p>
      <w:pPr>
        <w:numPr>
          <w:ilvl w:val="0"/>
          <w:numId w:val="1004"/>
        </w:numPr>
        <w:pStyle w:val="Compact"/>
      </w:pPr>
      <w:r>
        <w:t xml:space="preserve">Standard tier: Competitive pricing for essential medicines</w:t>
      </w:r>
    </w:p>
    <w:p>
      <w:pPr>
        <w:numPr>
          <w:ilvl w:val="0"/>
          <w:numId w:val="1004"/>
        </w:numPr>
        <w:pStyle w:val="Compact"/>
      </w:pPr>
      <w:r>
        <w:rPr>
          <w:iCs/>
          <w:i/>
        </w:rPr>
        <w:t xml:space="preserve">KL Community Discount:</w:t>
      </w:r>
      <w:r>
        <w:t xml:space="preserve"> </w:t>
      </w:r>
      <w:r>
        <w:t xml:space="preserve">15% off for senior citizens and low-income households (partnering with KL City Council)</w:t>
      </w:r>
    </w:p>
    <w:bookmarkEnd w:id="25"/>
    <w:bookmarkStart w:id="26" w:name="place-strategy-distribution"/>
    <w:p>
      <w:pPr>
        <w:pStyle w:val="Heading3"/>
      </w:pPr>
      <w:r>
        <w:rPr>
          <w:bCs/>
          <w:b/>
        </w:rPr>
        <w:t xml:space="preserve">Place Strategy (Distribution):</w:t>
      </w:r>
    </w:p>
    <w:p>
      <w:pPr>
        <w:pStyle w:val="FirstParagraph"/>
      </w:pPr>
      <w:r>
        <w:t xml:space="preserve">Optimizing Chemist accessibility across Malaysia Kuala Lumpur through:</w:t>
      </w:r>
    </w:p>
    <w:p>
      <w:pPr>
        <w:numPr>
          <w:ilvl w:val="0"/>
          <w:numId w:val="1005"/>
        </w:numPr>
        <w:pStyle w:val="Compact"/>
      </w:pPr>
      <w:r>
        <w:rPr>
          <w:iCs/>
          <w:i/>
        </w:rPr>
        <w:t xml:space="preserve">Strategic Location Mapping:</w:t>
      </w:r>
      <w:r>
        <w:t xml:space="preserve"> </w:t>
      </w:r>
      <w:r>
        <w:t xml:space="preserve">80% of outlets within 1km of public transport hubs (LRT/MRT stations)</w:t>
      </w:r>
    </w:p>
    <w:p>
      <w:pPr>
        <w:numPr>
          <w:ilvl w:val="0"/>
          <w:numId w:val="1005"/>
        </w:numPr>
        <w:pStyle w:val="Compact"/>
      </w:pPr>
      <w:r>
        <w:rPr>
          <w:iCs/>
          <w:i/>
        </w:rPr>
        <w:t xml:space="preserve">KL Health Hubs:</w:t>
      </w:r>
      <w:r>
        <w:t xml:space="preserve"> </w:t>
      </w:r>
      <w:r>
        <w:t xml:space="preserve">Flagship stores with in-store clinics (e.g., at Bukit Bintang and Bangsar)</w:t>
      </w:r>
    </w:p>
    <w:p>
      <w:pPr>
        <w:numPr>
          <w:ilvl w:val="0"/>
          <w:numId w:val="1005"/>
        </w:numPr>
        <w:pStyle w:val="Compact"/>
      </w:pPr>
      <w:r>
        <w:rPr>
          <w:iCs/>
          <w:i/>
        </w:rPr>
        <w:t xml:space="preserve">Digital-First Fulfillment:</w:t>
      </w:r>
      <w:r>
        <w:t xml:space="preserve"> </w:t>
      </w:r>
      <w:r>
        <w:t xml:space="preserve">Same-day delivery via GrabHealth partnerships across KL</w:t>
      </w:r>
    </w:p>
    <w:bookmarkEnd w:id="26"/>
    <w:bookmarkStart w:id="27" w:name="promotion-strategy"/>
    <w:p>
      <w:pPr>
        <w:pStyle w:val="Heading3"/>
      </w:pPr>
      <w:r>
        <w:rPr>
          <w:bCs/>
          <w:b/>
        </w:rPr>
        <w:t xml:space="preserve">Promotion Strategy:</w:t>
      </w:r>
    </w:p>
    <w:p>
      <w:pPr>
        <w:pStyle w:val="FirstParagraph"/>
      </w:pPr>
      <w:r>
        <w:t xml:space="preserve">Cross-channel campaigns building Chemist brand trust in Malaysia Kuala Lumpur:</w:t>
      </w:r>
    </w:p>
    <w:p>
      <w:pPr>
        <w:numPr>
          <w:ilvl w:val="0"/>
          <w:numId w:val="1006"/>
        </w:numPr>
        <w:pStyle w:val="Compact"/>
      </w:pPr>
      <w:r>
        <w:rPr>
          <w:iCs/>
          <w:i/>
        </w:rPr>
        <w:t xml:space="preserve">KL Health Awareness Campaigns:</w:t>
      </w:r>
      <w:r>
        <w:t xml:space="preserve"> </w:t>
      </w:r>
      <w:r>
        <w:t xml:space="preserve">Monthly free health screenings at KL public spaces (e.g., KLCC, Central Market)</w:t>
      </w:r>
    </w:p>
    <w:p>
      <w:pPr>
        <w:numPr>
          <w:ilvl w:val="0"/>
          <w:numId w:val="1006"/>
        </w:numPr>
        <w:pStyle w:val="Compact"/>
      </w:pPr>
      <w:r>
        <w:rPr>
          <w:iCs/>
          <w:i/>
        </w:rPr>
        <w:t xml:space="preserve">Influencer Collaborations:</w:t>
      </w:r>
      <w:r>
        <w:t xml:space="preserve"> </w:t>
      </w:r>
      <w:r>
        <w:t xml:space="preserve">Partnering with Malaysian healthcare influencers (Dr. Aishah, Dr. Tan) for "Chemist Wellness Wednesday" videos</w:t>
      </w:r>
    </w:p>
    <w:p>
      <w:pPr>
        <w:numPr>
          <w:ilvl w:val="0"/>
          <w:numId w:val="1006"/>
        </w:numPr>
        <w:pStyle w:val="Compact"/>
      </w:pPr>
      <w:r>
        <w:rPr>
          <w:iCs/>
          <w:i/>
        </w:rPr>
        <w:t xml:space="preserve">Community Engagement:</w:t>
      </w:r>
      <w:r>
        <w:t xml:space="preserve"> </w:t>
      </w:r>
      <w:r>
        <w:t xml:space="preserve">Sponsorship of KL's National Health Day events and school wellness programs</w:t>
      </w:r>
    </w:p>
    <w:p>
      <w:pPr>
        <w:numPr>
          <w:ilvl w:val="0"/>
          <w:numId w:val="1006"/>
        </w:numPr>
        <w:pStyle w:val="Compact"/>
      </w:pPr>
      <w:r>
        <w:rPr>
          <w:iCs/>
          <w:i/>
        </w:rPr>
        <w:t xml:space="preserve">Loyalty Program:</w:t>
      </w:r>
      <w:r>
        <w:t xml:space="preserve"> </w:t>
      </w:r>
      <w:r>
        <w:t xml:space="preserve">"Health Points" redeemable for pharmacy products or local health services (e.g., yoga classes at KL Wellness Centre)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first Chemist outlet in Bangsar; Launch KL Health Pass beta version; Partner with Klinik Kesihatan for referral network</w:t>
      </w:r>
    </w:p>
    <w:p>
      <w:pPr>
        <w:pStyle w:val="BodyText"/>
      </w:pPr>
      <w:r>
        <w:t xml:space="preserve">Q3 2024</w:t>
      </w:r>
    </w:p>
    <w:p>
      <w:pPr>
        <w:pStyle w:val="BodyText"/>
      </w:pPr>
      <w:r>
        <w:t xml:space="preserve">Expand to Petaling Jaya outlet; Begin cultural wellness kit development with local herbalists</w:t>
      </w:r>
    </w:p>
    <w:p>
      <w:pPr>
        <w:pStyle w:val="BodyText"/>
      </w:pPr>
      <w:r>
        <w:t xml:space="preserve">Q1 2025</w:t>
      </w:r>
    </w:p>
    <w:p>
      <w:pPr>
        <w:pStyle w:val="BodyText"/>
      </w:pPr>
      <w:r>
        <w:t xml:space="preserve">Implement AI-powered medication adherence system across all Chemist locations in KL; Launch senior care program</w:t>
      </w:r>
    </w:p>
    <w:p>
      <w:pPr>
        <w:pStyle w:val="BodyText"/>
      </w:pPr>
      <w:r>
        <w:t xml:space="preserve">Q4 2025</w:t>
      </w:r>
    </w:p>
    <w:p>
      <w:pPr>
        <w:pStyle w:val="BodyText"/>
      </w:pPr>
      <w:r>
        <w:t xml:space="preserve">Scale to 10 outlets; Achieve RM3M monthly revenue target for Malaysia Kuala Lumpur operations</w:t>
      </w:r>
    </w:p>
    <w:bookmarkEnd w:id="29"/>
    <w:bookmarkStart w:id="30" w:name="budget-allocation-year-1"/>
    <w:p>
      <w:pPr>
        <w:pStyle w:val="Heading2"/>
      </w:pPr>
      <w:r>
        <w:t xml:space="preserve">Budget Allocation (Year 1)</w:t>
      </w:r>
    </w:p>
    <w:p>
      <w:pPr>
        <w:pStyle w:val="FirstParagraph"/>
      </w:pPr>
      <w:r>
        <w:t xml:space="preserve">Total Investment: RM 8.5 million (focused solely on Malaysia Kuala Lumpur launch)</w:t>
      </w:r>
    </w:p>
    <w:p>
      <w:pPr>
        <w:numPr>
          <w:ilvl w:val="0"/>
          <w:numId w:val="1007"/>
        </w:numPr>
        <w:pStyle w:val="Compact"/>
      </w:pPr>
      <w:r>
        <w:t xml:space="preserve">Technology Development (35%): RM 3M for Chemist app, health ecosystem integration</w:t>
      </w:r>
    </w:p>
    <w:p>
      <w:pPr>
        <w:numPr>
          <w:ilvl w:val="0"/>
          <w:numId w:val="1007"/>
        </w:numPr>
        <w:pStyle w:val="Compact"/>
      </w:pPr>
      <w:r>
        <w:t xml:space="preserve">Store Rollout &amp; Fit-out (40%): RM 3.4M for strategic KL locations</w:t>
      </w:r>
    </w:p>
    <w:p>
      <w:pPr>
        <w:numPr>
          <w:ilvl w:val="0"/>
          <w:numId w:val="1007"/>
        </w:numPr>
        <w:pStyle w:val="Compact"/>
      </w:pPr>
      <w:r>
        <w:t xml:space="preserve">Marketing Campaigns (15%): RM 1.275M for KL community initiatives and digital ads</w:t>
      </w:r>
    </w:p>
    <w:p>
      <w:pPr>
        <w:numPr>
          <w:ilvl w:val="0"/>
          <w:numId w:val="1007"/>
        </w:numPr>
        <w:pStyle w:val="Compact"/>
      </w:pPr>
      <w:r>
        <w:t xml:space="preserve">Staff Training (10%): RM 850,000 for pharmacists in cultural competency &amp; telehealth</w:t>
      </w:r>
    </w:p>
    <w:bookmarkEnd w:id="30"/>
    <w:bookmarkStart w:id="31" w:name="evaluation-framework"/>
    <w:p>
      <w:pPr>
        <w:pStyle w:val="Heading2"/>
      </w:pPr>
      <w:r>
        <w:t xml:space="preserve">Evaluation Framework</w:t>
      </w:r>
    </w:p>
    <w:p>
      <w:pPr>
        <w:pStyle w:val="FirstParagraph"/>
      </w:pPr>
      <w:r>
        <w:t xml:space="preserve">Success measured through:</w:t>
      </w:r>
    </w:p>
    <w:p>
      <w:pPr>
        <w:numPr>
          <w:ilvl w:val="0"/>
          <w:numId w:val="1008"/>
        </w:numPr>
        <w:pStyle w:val="Compact"/>
      </w:pPr>
      <w:r>
        <w:rPr>
          <w:iCs/>
          <w:i/>
        </w:rPr>
        <w:t xml:space="preserve">Monthly:</w:t>
      </w:r>
      <w:r>
        <w:t xml:space="preserve"> </w:t>
      </w:r>
      <w:r>
        <w:t xml:space="preserve">Customer acquisition cost (CAC) vs. lifetime value (LTV); App engagement metrics</w:t>
      </w:r>
    </w:p>
    <w:p>
      <w:pPr>
        <w:numPr>
          <w:ilvl w:val="0"/>
          <w:numId w:val="1008"/>
        </w:numPr>
        <w:pStyle w:val="Compact"/>
      </w:pPr>
      <w:r>
        <w:rPr>
          <w:iCs/>
          <w:i/>
        </w:rPr>
        <w:t xml:space="preserve">Quarterly:</w:t>
      </w:r>
      <w:r>
        <w:t xml:space="preserve"> </w:t>
      </w:r>
      <w:r>
        <w:t xml:space="preserve">Market share growth in KL via Nielsen Health Analytics; Satisfaction scores from Chemist customer feedback</w:t>
      </w:r>
    </w:p>
    <w:p>
      <w:pPr>
        <w:numPr>
          <w:ilvl w:val="0"/>
          <w:numId w:val="1008"/>
        </w:numPr>
        <w:pStyle w:val="Compact"/>
      </w:pPr>
      <w:r>
        <w:rPr>
          <w:iCs/>
          <w:i/>
        </w:rPr>
        <w:t xml:space="preserve">Anually:</w:t>
      </w:r>
      <w:r>
        <w:t xml:space="preserve"> </w:t>
      </w:r>
      <w:r>
        <w:t xml:space="preserve">Return on Marketing Investment (ROMI) against revenue targets; Expansion readiness for Peninsular Malaysia</w:t>
      </w:r>
    </w:p>
    <w:bookmarkEnd w:id="31"/>
    <w:bookmarkStart w:id="32" w:name="Xf98b40c3856e227c5dc75bb0cfb935517065086"/>
    <w:p>
      <w:pPr>
        <w:pStyle w:val="Heading2"/>
      </w:pPr>
      <w:r>
        <w:t xml:space="preserve">Conclusion: Transforming Healthcare Delivery in Malaysia Kuala Lumpur</w:t>
      </w:r>
    </w:p>
    <w:p>
      <w:pPr>
        <w:pStyle w:val="FirstParagraph"/>
      </w:pPr>
      <w:r>
        <w:t xml:space="preserve">This Marketing Plan positions our Chemist brand not merely as a pharmacy, but as the integrated health partner KL residents trust. By embedding cultural relevance, digital innovation, and community focus into every Chemist touchpoint across Malaysia Kuala Lumpur, we will capture significant market share while addressing critical urban health challenges. The strategy's agility allows adaptation to evolving Malaysian healthcare policies (e.g., new telemedicine regulations), ensuring sustainable growth for the Chemist brand across all of Kuala Lumpur's diverse neighborhoods. With this plan, our Chemist becomes synonymous with accessible, personalized healthcare in one of Asia's most vibrant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Malaysia Kuala Lumpur</dc:title>
  <dc:creator/>
  <dc:language>en</dc:language>
  <cp:keywords/>
  <dcterms:created xsi:type="dcterms:W3CDTF">2026-07-23T10:40:56Z</dcterms:created>
  <dcterms:modified xsi:type="dcterms:W3CDTF">2026-07-23T10:40:56Z</dcterms:modified>
</cp:coreProperties>
</file>

<file path=docProps/custom.xml><?xml version="1.0" encoding="utf-8"?>
<Properties xmlns="http://schemas.openxmlformats.org/officeDocument/2006/custom-properties" xmlns:vt="http://schemas.openxmlformats.org/officeDocument/2006/docPropsVTypes"/>
</file>