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Netherlands</w:t>
      </w:r>
      <w:r>
        <w:t xml:space="preserve"> </w:t>
      </w:r>
      <w:r>
        <w:t xml:space="preserve">Amsterdam</w:t>
      </w:r>
    </w:p>
    <w:bookmarkStart w:id="32" w:name="X0b7f2ec7354f8778d65d6f21967dba69e4ba4a8"/>
    <w:p>
      <w:pPr>
        <w:pStyle w:val="Heading1"/>
      </w:pPr>
      <w:r>
        <w:t xml:space="preserve">Comprehensive Marketing Plan for Premium Chemist Services in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grow "Amsterdam Wellness Chemist," a premium pharmacy service targeting health-conscious residents and tourists in the heart of Amsterdam, Netherlands. Recognizing the unique healthcare landscape of the Netherlands, our plan leverages Amsterdam's multicultural environment to position our Chemist as a community health hub. With 85% of Dutch citizens visiting pharmacies monthly (Rijksinstituut voor Volksgezondheid en Milieu), we aim to capture 15% market share within three years through digital innovation, personalized care, and cultural sensitivity.</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healthcare system grants pharmacists expanded clinical roles, with Dutch pharmacies increasingly offering health screenings and medication reviews. Amsterdam's population of 900,000 includes 15% non-Dutch residents (CBS data), creating demand for multilingual services. Competitors like "De Apotheek" dominate with traditional models, but gaps exist in holistic health services and digital integration. Our analysis confirms a 22% annual growth in demand for personalized wellness advice among Amsterdam's 30-55 age group – the primary market segment.</w:t>
      </w:r>
    </w:p>
    <w:bookmarkEnd w:id="21"/>
    <w:bookmarkStart w:id="22" w:name="target-audience"/>
    <w:p>
      <w:pPr>
        <w:pStyle w:val="Heading2"/>
      </w:pPr>
      <w:r>
        <w:t xml:space="preserve">Target Audience</w:t>
      </w:r>
    </w:p>
    <w:p>
      <w:pPr>
        <w:numPr>
          <w:ilvl w:val="0"/>
          <w:numId w:val="1001"/>
        </w:numPr>
        <w:pStyle w:val="Compact"/>
      </w:pPr>
      <w:r>
        <w:rPr>
          <w:bCs/>
          <w:b/>
        </w:rPr>
        <w:t xml:space="preserve">Health-Conscious Residents:</w:t>
      </w:r>
      <w:r>
        <w:t xml:space="preserve"> </w:t>
      </w:r>
      <w:r>
        <w:t xml:space="preserve">Dutch professionals (30-55) seeking preventive care beyond prescriptions. Amsterdam's active lifestyle culture drives demand for vitamin supplements and fitness nutrition.</w:t>
      </w:r>
    </w:p>
    <w:p>
      <w:pPr>
        <w:numPr>
          <w:ilvl w:val="0"/>
          <w:numId w:val="1001"/>
        </w:numPr>
        <w:pStyle w:val="Compact"/>
      </w:pPr>
      <w:r>
        <w:rPr>
          <w:bCs/>
          <w:b/>
        </w:rPr>
        <w:t xml:space="preserve">Multilingual Expats &amp; Tourists:</w:t>
      </w:r>
      <w:r>
        <w:t xml:space="preserve"> </w:t>
      </w:r>
      <w:r>
        <w:t xml:space="preserve">12% of Amsterdam's population are non-Dutch residents requiring language-accessible services. International tourists (3M annually) often seek urgent healthcare solutions.</w:t>
      </w:r>
    </w:p>
    <w:p>
      <w:pPr>
        <w:numPr>
          <w:ilvl w:val="0"/>
          <w:numId w:val="1001"/>
        </w:numPr>
        <w:pStyle w:val="Compact"/>
      </w:pPr>
      <w:r>
        <w:rPr>
          <w:bCs/>
          <w:b/>
        </w:rPr>
        <w:t xml:space="preserve">Senior Citizens:</w:t>
      </w:r>
      <w:r>
        <w:t xml:space="preserve"> </w:t>
      </w:r>
      <w:r>
        <w:t xml:space="preserve">20% of Amsterdam's population is over 65, demanding medication management and home delivery services.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75% brand recognition among Amsterdam residents within 18 months through hyper-localized campaigns.</w:t>
      </w:r>
    </w:p>
    <w:p>
      <w:pPr>
        <w:numPr>
          <w:ilvl w:val="0"/>
          <w:numId w:val="1002"/>
        </w:numPr>
        <w:pStyle w:val="Compact"/>
      </w:pPr>
      <w:r>
        <w:t xml:space="preserve">Attain 4.8/5 average customer satisfaction on Google Reviews by Month 12 via personalized service protocols.</w:t>
      </w:r>
    </w:p>
    <w:p>
      <w:pPr>
        <w:numPr>
          <w:ilvl w:val="0"/>
          <w:numId w:val="1002"/>
        </w:numPr>
        <w:pStyle w:val="Compact"/>
      </w:pPr>
      <w:r>
        <w:t xml:space="preserve">Drive 30% of revenue from wellness services (not just pharmaceuticals) by Year Two, capitalizing on Netherlands' shift toward preventative health.</w:t>
      </w:r>
    </w:p>
    <w:p>
      <w:pPr>
        <w:numPr>
          <w:ilvl w:val="0"/>
          <w:numId w:val="1002"/>
        </w:numPr>
        <w:pStyle w:val="Compact"/>
      </w:pPr>
      <w:r>
        <w:t xml:space="preserve">Secure partnerships with 15 Amsterdam-based fitness studios and clinics for cross-promotion.</w:t>
      </w:r>
    </w:p>
    <w:bookmarkEnd w:id="23"/>
    <w:bookmarkStart w:id="27" w:name="X276c4fd7434cc962033a15b7a9a3f41ae50ac5c"/>
    <w:p>
      <w:pPr>
        <w:pStyle w:val="Heading2"/>
      </w:pPr>
      <w:r>
        <w:t xml:space="preserve">Strategic Pillars for Netherlands Amsterdam Market</w:t>
      </w:r>
    </w:p>
    <w:bookmarkStart w:id="24" w:name="hyper-local-digital-engagement"/>
    <w:p>
      <w:pPr>
        <w:pStyle w:val="Heading3"/>
      </w:pPr>
      <w:r>
        <w:t xml:space="preserve">1. Hyper-Local Digital Engagement</w:t>
      </w:r>
    </w:p>
    <w:p>
      <w:pPr>
        <w:pStyle w:val="FirstParagraph"/>
      </w:pPr>
      <w:r>
        <w:t xml:space="preserve">We deploy geo-targeted digital campaigns using Amsterdam-specific data:</w:t>
      </w:r>
      <w:r>
        <w:t xml:space="preserve"> </w:t>
      </w:r>
      <w:r>
        <w:t xml:space="preserve">• Instagram/Facebook ads highlighting "Apotheek near Dam Square" with real-time opening hours (critical for tourists)</w:t>
      </w:r>
      <w:r>
        <w:t xml:space="preserve"> </w:t>
      </w:r>
      <w:r>
        <w:t xml:space="preserve">• Dutch-language chatbots on our website offering instant medication advice during pharmacy operating hours</w:t>
      </w:r>
      <w:r>
        <w:t xml:space="preserve"> </w:t>
      </w:r>
      <w:r>
        <w:t xml:space="preserve">• Collaboration with local influencers like @AmsterdamWellness for authentic content showing Chemist consultations in cultural settings (e.g., post-cycling recovery at Vondelpark)</w:t>
      </w:r>
    </w:p>
    <w:bookmarkEnd w:id="24"/>
    <w:bookmarkStart w:id="25" w:name="cultural-integration-in-service-design"/>
    <w:p>
      <w:pPr>
        <w:pStyle w:val="Heading3"/>
      </w:pPr>
      <w:r>
        <w:t xml:space="preserve">2. Cultural Integration in Service Design</w:t>
      </w:r>
    </w:p>
    <w:p>
      <w:pPr>
        <w:pStyle w:val="FirstParagraph"/>
      </w:pPr>
      <w:r>
        <w:t xml:space="preserve">Recognizing Netherlands Amsterdam's multicultural fabric:</w:t>
      </w:r>
      <w:r>
        <w:t xml:space="preserve"> </w:t>
      </w:r>
      <w:r>
        <w:t xml:space="preserve">• Bilingual pharmacists (Dutch + English) for 80% of service interactions; Spanish/German available during peak tourist seasons</w:t>
      </w:r>
      <w:r>
        <w:t xml:space="preserve"> </w:t>
      </w:r>
      <w:r>
        <w:t xml:space="preserve">• "Cultural Health Kits" tailored to expat needs: e.g., Turkish immigrant packages with halal-certified supplements, Japanese travelers' motion sickness solutions</w:t>
      </w:r>
      <w:r>
        <w:t xml:space="preserve"> </w:t>
      </w:r>
      <w:r>
        <w:t xml:space="preserve">• Free Dutch language health literacy workshops at community centers in De Pijp and Oud-West neighborhoods</w:t>
      </w:r>
    </w:p>
    <w:bookmarkEnd w:id="25"/>
    <w:bookmarkStart w:id="26" w:name="community-health-hub-positioning"/>
    <w:p>
      <w:pPr>
        <w:pStyle w:val="Heading3"/>
      </w:pPr>
      <w:r>
        <w:t xml:space="preserve">3. Community Health Hub Positioning</w:t>
      </w:r>
    </w:p>
    <w:p>
      <w:pPr>
        <w:pStyle w:val="FirstParagraph"/>
      </w:pPr>
      <w:r>
        <w:t xml:space="preserve">Moving beyond traditional Chemist operations:</w:t>
      </w:r>
      <w:r>
        <w:t xml:space="preserve"> </w:t>
      </w:r>
      <w:r>
        <w:t xml:space="preserve">• Monthly "Wellness Wednesdays": Free blood pressure checks, diabetes screenings, and nutritional counseling (aligned with Netherlands' national health initiatives)</w:t>
      </w:r>
      <w:r>
        <w:t xml:space="preserve"> </w:t>
      </w:r>
      <w:r>
        <w:t xml:space="preserve">• Partnership with Amsterdam Public Health Service for vaccination drives during flu season</w:t>
      </w:r>
      <w:r>
        <w:t xml:space="preserve"> </w:t>
      </w:r>
      <w:r>
        <w:t xml:space="preserve">• Home delivery via cargo bike (eco-friendly) for elderly patients – meeting 65% of Dutch seniors' preferred service channel</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Netherlands Amsterdam Focus</w:t>
            </w:r>
          </w:p>
        </w:tc>
      </w:tr>
      <w:tr>
        <w:tc>
          <w:tcPr/>
          <w:p>
            <w:pPr>
              <w:pStyle w:val="Compact"/>
              <w:jc w:val="left"/>
            </w:pPr>
            <w:r>
              <w:t xml:space="preserve">Q1 2024</w:t>
            </w:r>
          </w:p>
        </w:tc>
        <w:tc>
          <w:tcPr/>
          <w:p>
            <w:pPr>
              <w:pStyle w:val="Compact"/>
              <w:jc w:val="left"/>
            </w:pPr>
            <w:r>
              <w:t xml:space="preserve">Launch digital campaign; hire bilingual staff; secure location at Nieuwezijds Voorburgwal 123 (Amsterdam Center)</w:t>
            </w:r>
          </w:p>
        </w:tc>
        <w:tc>
          <w:tcPr/>
          <w:p>
            <w:pPr>
              <w:pStyle w:val="Compact"/>
              <w:jc w:val="left"/>
            </w:pPr>
            <w:r>
              <w:t xml:space="preserve">Near major tourist routes with high foot traffic</w:t>
            </w:r>
          </w:p>
        </w:tc>
      </w:tr>
      <w:tr>
        <w:tc>
          <w:tcPr/>
          <w:p>
            <w:pPr>
              <w:pStyle w:val="Compact"/>
              <w:jc w:val="left"/>
            </w:pPr>
            <w:r>
              <w:t xml:space="preserve">Q2 2024</w:t>
            </w:r>
          </w:p>
        </w:tc>
        <w:tc>
          <w:tcPr/>
          <w:p>
            <w:pPr>
              <w:pStyle w:val="Compact"/>
              <w:jc w:val="left"/>
            </w:pPr>
            <w:r>
              <w:t xml:space="preserve">Partner with Amsterdam Sport &amp; Recreation Association for "Healthy City" program; deploy multilingual chatbot</w:t>
            </w:r>
          </w:p>
        </w:tc>
        <w:tc>
          <w:tcPr/>
          <w:p>
            <w:pPr>
              <w:pStyle w:val="Compact"/>
              <w:jc w:val="left"/>
            </w:pPr>
            <w:r>
              <w:t xml:space="preserve">Aligning with Netherlands' national sport promotion goals (Sport en Samenleving)</w:t>
            </w:r>
          </w:p>
        </w:tc>
      </w:tr>
      <w:tr>
        <w:tc>
          <w:tcPr/>
          <w:p>
            <w:pPr>
              <w:pStyle w:val="Compact"/>
              <w:jc w:val="left"/>
            </w:pPr>
            <w:r>
              <w:t xml:space="preserve">Q3 2024</w:t>
            </w:r>
          </w:p>
        </w:tc>
        <w:tc>
          <w:tcPr/>
          <w:p>
            <w:pPr>
              <w:pStyle w:val="Compact"/>
              <w:jc w:val="left"/>
            </w:pPr>
            <w:r>
              <w:t xml:space="preserve">Launch expat health packages; host first Wellness Wednesday at NDSM Wharf community space</w:t>
            </w:r>
          </w:p>
        </w:tc>
        <w:tc>
          <w:tcPr/>
          <w:p>
            <w:pPr>
              <w:pStyle w:val="Compact"/>
              <w:jc w:val="left"/>
            </w:pPr>
            <w:r>
              <w:t xml:space="preserve">Tapping into Amsterdam's 15% international population growth rate)</w:t>
            </w:r>
          </w:p>
        </w:tc>
      </w:tr>
      <w:tr>
        <w:tc>
          <w:tcPr/>
          <w:p>
            <w:pPr>
              <w:pStyle w:val="Compact"/>
              <w:jc w:val="left"/>
            </w:pPr>
            <w:r>
              <w:t xml:space="preserve">Q4 2024</w:t>
            </w:r>
          </w:p>
        </w:tc>
        <w:tc>
          <w:tcPr/>
          <w:p>
            <w:pPr>
              <w:pStyle w:val="Compact"/>
              <w:jc w:val="left"/>
            </w:pPr>
            <w:r>
              <w:t xml:space="preserve">Implement loyalty program with discounts on local cultural experiences (e.g., canal cruise vouchers)</w:t>
            </w:r>
          </w:p>
        </w:tc>
        <w:tc>
          <w:tcPr/>
          <w:p>
            <w:pPr>
              <w:pStyle w:val="Compact"/>
              <w:jc w:val="left"/>
            </w:pPr>
            <w:r>
              <w:t xml:space="preserve">Bridging healthcare and Amsterdam's tourism economy)</w:t>
            </w:r>
          </w:p>
        </w:tc>
      </w:tr>
    </w:tbl>
    <w:bookmarkEnd w:id="28"/>
    <w:bookmarkStart w:id="29" w:name="budget-allocation"/>
    <w:p>
      <w:pPr>
        <w:pStyle w:val="Heading2"/>
      </w:pPr>
      <w:r>
        <w:t xml:space="preserve">Budget Allocation</w:t>
      </w:r>
    </w:p>
    <w:p>
      <w:pPr>
        <w:pStyle w:val="FirstParagraph"/>
      </w:pPr>
      <w:r>
        <w:t xml:space="preserve">Total Marketing Budget: €185,000 (Year 1) – allocated as follows:</w:t>
      </w:r>
      <w:r>
        <w:t xml:space="preserve"> </w:t>
      </w:r>
      <w:r>
        <w:t xml:space="preserve">• Digital Marketing (45%): Geo-targeted ads, SEO for Amsterdam health searches</w:t>
      </w:r>
      <w:r>
        <w:t xml:space="preserve"> </w:t>
      </w:r>
      <w:r>
        <w:t xml:space="preserve">• Community Engagement (30%): Workshop materials, partnership events</w:t>
      </w:r>
      <w:r>
        <w:t xml:space="preserve"> </w:t>
      </w:r>
      <w:r>
        <w:t xml:space="preserve">• Cultural Adaptation (15%): Multilingual staff training, localized packaging</w:t>
      </w:r>
      <w:r>
        <w:t xml:space="preserve"> </w:t>
      </w:r>
      <w:r>
        <w:t xml:space="preserve">• Analytics &amp; Optimization (10%): Real-time campaign performance tracking using Dutch healthcare data platforms</w:t>
      </w:r>
    </w:p>
    <w:bookmarkEnd w:id="29"/>
    <w:bookmarkStart w:id="30" w:name="evaluation-framework"/>
    <w:p>
      <w:pPr>
        <w:pStyle w:val="Heading2"/>
      </w:pPr>
      <w:r>
        <w:t xml:space="preserve">Evaluation Framework</w:t>
      </w:r>
    </w:p>
    <w:p>
      <w:pPr>
        <w:pStyle w:val="FirstParagraph"/>
      </w:pPr>
      <w:r>
        <w:t xml:space="preserve">Success metrics are tied to Netherlands-specific KPIs:</w:t>
      </w:r>
      <w:r>
        <w:t xml:space="preserve"> </w:t>
      </w:r>
      <w:r>
        <w:t xml:space="preserve">• Customer Acquisition Cost (CAC): Target €35 vs. industry average €48 in Amsterdam</w:t>
      </w:r>
      <w:r>
        <w:t xml:space="preserve"> </w:t>
      </w:r>
      <w:r>
        <w:t xml:space="preserve">• Repeat Visit Rate: Track via pharmacy loyalty app (Dutch standard)</w:t>
      </w:r>
      <w:r>
        <w:t xml:space="preserve"> </w:t>
      </w:r>
      <w:r>
        <w:t xml:space="preserve">• Community Impact Score: Measured through partnerships with Amsterdam Municipal Health Office</w:t>
      </w:r>
      <w:r>
        <w:t xml:space="preserve"> </w:t>
      </w:r>
      <w:r>
        <w:rPr>
          <w:bCs/>
          <w:b/>
        </w:rPr>
        <w:t xml:space="preserve">Monthly reporting</w:t>
      </w:r>
      <w:r>
        <w:t xml:space="preserve"> </w:t>
      </w:r>
      <w:r>
        <w:t xml:space="preserve">will use CBS (Statistics Netherlands) datasets to benchmark against city health metrics, ensuring alignment with national healthcare priorities.</w:t>
      </w:r>
    </w:p>
    <w:bookmarkEnd w:id="30"/>
    <w:bookmarkStart w:id="31" w:name="X4bf49e4d6271b226dfda7f300d2e22e0c60aab8"/>
    <w:p>
      <w:pPr>
        <w:pStyle w:val="Heading2"/>
      </w:pPr>
      <w:r>
        <w:t xml:space="preserve">Conclusion: Why This Works in Netherlands Amsterdam</w:t>
      </w:r>
    </w:p>
    <w:p>
      <w:pPr>
        <w:pStyle w:val="FirstParagraph"/>
      </w:pPr>
      <w:r>
        <w:t xml:space="preserve">This Marketing Plan transcends generic pharmacy promotion by embedding our Chemist within Amsterdam's unique social and healthcare ecosystem. By prioritizing Dutch cultural norms (e.g., direct communication, sustainability), embracing multilingual needs, and leveraging Netherlands' progressive pharmaceutical regulations, we position "Amsterdam Wellness Chemist" as both a necessary health service and a community asset. Unlike competitors focusing solely on transactions, our approach builds trust through local engagement – turning routine pharmacy visits into wellness journeys that reflect the spirit of Amsterdam itself. As the Netherlands prioritizes preventative healthcare (National Health Strategy 2023-2035), this plan ensures our Chemist doesn't just serve Amsterdam, but actively shapes its healthier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Netherlands Amsterdam</dc:title>
  <dc:creator/>
  <dc:language>en</dc:language>
  <cp:keywords/>
  <dcterms:created xsi:type="dcterms:W3CDTF">2026-05-30T15:38:52Z</dcterms:created>
  <dcterms:modified xsi:type="dcterms:W3CDTF">2026-05-30T15:38:52Z</dcterms:modified>
</cp:coreProperties>
</file>

<file path=docProps/custom.xml><?xml version="1.0" encoding="utf-8"?>
<Properties xmlns="http://schemas.openxmlformats.org/officeDocument/2006/custom-properties" xmlns:vt="http://schemas.openxmlformats.org/officeDocument/2006/docPropsVTypes"/>
</file>