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9310aae9fd511eabbc18205ac6a05ce9c82d822"/>
    <w:p>
      <w:pPr>
        <w:pStyle w:val="Heading1"/>
      </w:pPr>
      <w:r>
        <w:t xml:space="preserve">Comprehensive Marketing Plan for Civil Engineering Services in Belgium Brussels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consultancy firm within the dynamic urban landscape of Belgium Brussels. As Brussels continues to undergo significant infrastructure modernization, housing expansion, and sustainable development initiatives, the demand for expert civil engineering solutions has reached unprecedented levels. This plan targets positioning our Civil Engineer services as indispensable partners in navigating Belgium's complex regulatory environment while delivering innovative, climate-resilient infrastructure projects across the capital region.</w:t>
      </w:r>
    </w:p>
    <w:bookmarkEnd w:id="20"/>
    <w:bookmarkStart w:id="21" w:name="market-analysis-belgium-brussels-context"/>
    <w:p>
      <w:pPr>
        <w:pStyle w:val="Heading2"/>
      </w:pPr>
      <w:r>
        <w:t xml:space="preserve">Market Analysis: Belgium Brussels Context</w:t>
      </w:r>
    </w:p>
    <w:p>
      <w:pPr>
        <w:pStyle w:val="FirstParagraph"/>
      </w:pPr>
      <w:r>
        <w:t xml:space="preserve">The Belgian capital faces unique challenges including aging infrastructure (over 60% of Brussels' public works are over 30 years old), EU regulatory compliance requirements, and ambitious climate action targets under the Brussels Climate Plan 2050. The civil engineering market in Belgium Brussels is valued at €1.2 billion annually with a projected 4.7% CAGR through 2028, driven by major projects like the Nord-Sud urban renewal zone and the</w:t>
      </w:r>
      <w:r>
        <w:t xml:space="preserve"> </w:t>
      </w:r>
      <w:r>
        <w:rPr>
          <w:iCs/>
          <w:i/>
        </w:rPr>
        <w:t xml:space="preserve">Brussels Mobility Plan</w:t>
      </w:r>
      <w:r>
        <w:t xml:space="preserve">. Key competitors include multinational firms (e.g., Royal HaskoningDHV) and local consultancies, but gaps persist in specialized sustainable infrastructure delivery – creating our strategic opportunity.</w:t>
      </w:r>
    </w:p>
    <w:bookmarkEnd w:id="21"/>
    <w:bookmarkStart w:id="22" w:name="target-audience-segmentation"/>
    <w:p>
      <w:pPr>
        <w:pStyle w:val="Heading2"/>
      </w:pPr>
      <w:r>
        <w:t xml:space="preserve">Target Audience Segmentation</w:t>
      </w:r>
    </w:p>
    <w:p>
      <w:pPr>
        <w:pStyle w:val="FirstParagraph"/>
      </w:pPr>
      <w:r>
        <w:t xml:space="preserve">We focus on three priority segments within Belgium Brussels:</w:t>
      </w:r>
    </w:p>
    <w:p>
      <w:pPr>
        <w:numPr>
          <w:ilvl w:val="0"/>
          <w:numId w:val="1001"/>
        </w:numPr>
        <w:pStyle w:val="Compact"/>
      </w:pPr>
      <w:r>
        <w:rPr>
          <w:bCs/>
          <w:b/>
        </w:rPr>
        <w:t xml:space="preserve">Public Sector Entities:</w:t>
      </w:r>
      <w:r>
        <w:t xml:space="preserve"> </w:t>
      </w:r>
      <w:r>
        <w:t xml:space="preserve">Brussels Mobility, City of Brussels Urban Development Department, and Flemish Region Infrastructure Agencies seeking ESG-compliant projects.</w:t>
      </w:r>
    </w:p>
    <w:p>
      <w:pPr>
        <w:numPr>
          <w:ilvl w:val="0"/>
          <w:numId w:val="1001"/>
        </w:numPr>
        <w:pStyle w:val="Compact"/>
      </w:pPr>
      <w:r>
        <w:rPr>
          <w:bCs/>
          <w:b/>
        </w:rPr>
        <w:t xml:space="preserve">Private Developers:</w:t>
      </w:r>
      <w:r>
        <w:t xml:space="preserve"> </w:t>
      </w:r>
      <w:r>
        <w:t xml:space="preserve">Real estate firms (e.g., BNP Paribas Real Estate) investing in high-density residential complexes requiring integrated civil engineering solutions.</w:t>
      </w:r>
    </w:p>
    <w:p>
      <w:pPr>
        <w:numPr>
          <w:ilvl w:val="0"/>
          <w:numId w:val="1001"/>
        </w:numPr>
        <w:pStyle w:val="Compact"/>
      </w:pPr>
      <w:r>
        <w:rPr>
          <w:bCs/>
          <w:b/>
        </w:rPr>
        <w:t xml:space="preserve">Sustainability Consultants:</w:t>
      </w:r>
      <w:r>
        <w:t xml:space="preserve"> </w:t>
      </w:r>
      <w:r>
        <w:t xml:space="preserve">Firms like CEAD needing specialized civil engineering support for green certification (BREEAM, HQE).</w:t>
      </w:r>
    </w:p>
    <w:bookmarkEnd w:id="22"/>
    <w:bookmarkStart w:id="23" w:name="marketing-objectives"/>
    <w:p>
      <w:pPr>
        <w:pStyle w:val="Heading2"/>
      </w:pPr>
      <w:r>
        <w:t xml:space="preserve">Marketing Objectives</w:t>
      </w:r>
    </w:p>
    <w:p>
      <w:pPr>
        <w:numPr>
          <w:ilvl w:val="0"/>
          <w:numId w:val="1002"/>
        </w:numPr>
        <w:pStyle w:val="Compact"/>
      </w:pPr>
      <w:r>
        <w:t xml:space="preserve">Achieve 15% market share among Brussels-based civil engineering firms within 3 years.</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tailored civil engineering services specifically engineered for Belgium Brussels' unique needs:</w:t>
      </w:r>
    </w:p>
    <w:p>
      <w:pPr>
        <w:numPr>
          <w:ilvl w:val="0"/>
          <w:numId w:val="1003"/>
        </w:numPr>
        <w:pStyle w:val="Compact"/>
      </w:pPr>
      <w:r>
        <w:rPr>
          <w:iCs/>
          <w:i/>
        </w:rPr>
        <w:t xml:space="preserve">Sustainable Infrastructure Design:</w:t>
      </w:r>
      <w:r>
        <w:t xml:space="preserve"> </w:t>
      </w:r>
      <w:r>
        <w:t xml:space="preserve">Integrating EU Green Deal requirements into road, drainage, and public space projects.</w:t>
      </w:r>
    </w:p>
    <w:p>
      <w:pPr>
        <w:numPr>
          <w:ilvl w:val="0"/>
          <w:numId w:val="1003"/>
        </w:numPr>
        <w:pStyle w:val="Compact"/>
      </w:pPr>
      <w:r>
        <w:rPr>
          <w:iCs/>
          <w:i/>
        </w:rPr>
        <w:t xml:space="preserve">Regulatory Navigation Service:</w:t>
      </w:r>
      <w:r>
        <w:t xml:space="preserve"> </w:t>
      </w:r>
      <w:r>
        <w:t xml:space="preserve">Expertise in Belgian building codes (e.g., CRR), Brussels' "Urban Planning Code," and EU directives.</w:t>
      </w:r>
    </w:p>
    <w:p>
      <w:pPr>
        <w:numPr>
          <w:ilvl w:val="0"/>
          <w:numId w:val="1003"/>
        </w:numPr>
        <w:pStyle w:val="Compact"/>
      </w:pPr>
      <w:r>
        <w:rPr>
          <w:iCs/>
          <w:i/>
        </w:rPr>
        <w:t xml:space="preserve">Digital Engineering Suite:</w:t>
      </w:r>
      <w:r>
        <w:t xml:space="preserve"> </w:t>
      </w:r>
      <w:r>
        <w:t xml:space="preserve">BIM 3D modeling compliant with Belgium's NEN 3120 standards, including LiDAR surveying for dense urban environments.</w:t>
      </w:r>
    </w:p>
    <w:bookmarkEnd w:id="24"/>
    <w:bookmarkStart w:id="25" w:name="pricing-strategy"/>
    <w:p>
      <w:pPr>
        <w:pStyle w:val="Heading3"/>
      </w:pPr>
      <w:r>
        <w:t xml:space="preserve">Pricing Strategy</w:t>
      </w:r>
    </w:p>
    <w:p>
      <w:pPr>
        <w:pStyle w:val="FirstParagraph"/>
      </w:pPr>
      <w:r>
        <w:t xml:space="preserve">A value-based pricing model reflecting our specialized Brussels knowledge:</w:t>
      </w:r>
    </w:p>
    <w:p>
      <w:pPr>
        <w:numPr>
          <w:ilvl w:val="0"/>
          <w:numId w:val="1004"/>
        </w:numPr>
        <w:pStyle w:val="Compact"/>
      </w:pPr>
      <w:r>
        <w:rPr>
          <w:iCs/>
          <w:i/>
        </w:rPr>
        <w:t xml:space="preserve">Project-Based Fees:</w:t>
      </w:r>
      <w:r>
        <w:t xml:space="preserve"> </w:t>
      </w:r>
      <w:r>
        <w:t xml:space="preserve">12-15% of total project value (vs. industry average 8-10%), justified by reduced regulatory delays and climate risk mitigation.</w:t>
      </w:r>
    </w:p>
    <w:p>
      <w:pPr>
        <w:numPr>
          <w:ilvl w:val="0"/>
          <w:numId w:val="1004"/>
        </w:numPr>
        <w:pStyle w:val="Compact"/>
      </w:pPr>
      <w:r>
        <w:rPr>
          <w:iCs/>
          <w:i/>
        </w:rPr>
        <w:t xml:space="preserve">Subscription Model:</w:t>
      </w:r>
      <w:r>
        <w:t xml:space="preserve"> </w:t>
      </w:r>
      <w:r>
        <w:t xml:space="preserve">€4,500/month for ongoing infrastructure health assessments for municipal clients in Belgium Brussels.</w:t>
      </w:r>
    </w:p>
    <w:bookmarkEnd w:id="25"/>
    <w:bookmarkStart w:id="26" w:name="place-distribution"/>
    <w:p>
      <w:pPr>
        <w:pStyle w:val="Heading3"/>
      </w:pPr>
      <w:r>
        <w:t xml:space="preserve">Place (Distribution)</w:t>
      </w:r>
    </w:p>
    <w:p>
      <w:pPr>
        <w:pStyle w:val="FirstParagraph"/>
      </w:pPr>
      <w:r>
        <w:t xml:space="preserve">Our physical presence in central Brussels ensures rapid response to client needs. We maintain offices at the iconic "Brussels Innovation Hub" (Rue de la Loi 50), strategically located near EU institutions and government buildings. Digital access is prioritized through:</w:t>
      </w:r>
    </w:p>
    <w:p>
      <w:pPr>
        <w:numPr>
          <w:ilvl w:val="0"/>
          <w:numId w:val="1005"/>
        </w:numPr>
        <w:pStyle w:val="Compact"/>
      </w:pPr>
      <w:r>
        <w:t xml:space="preserve">Integration with Brussels' digital platform "Bruxelles Connect"</w:t>
      </w:r>
    </w:p>
    <w:p>
      <w:pPr>
        <w:numPr>
          <w:ilvl w:val="0"/>
          <w:numId w:val="1005"/>
        </w:numPr>
        <w:pStyle w:val="Compact"/>
      </w:pPr>
      <w:r>
        <w:t xml:space="preserve">Dedicated service portals for public sector clients</w:t>
      </w:r>
    </w:p>
    <w:bookmarkEnd w:id="26"/>
    <w:bookmarkStart w:id="27" w:name="promotion-strategy"/>
    <w:p>
      <w:pPr>
        <w:pStyle w:val="Heading3"/>
      </w:pPr>
      <w:r>
        <w:t xml:space="preserve">Promotion Strategy</w:t>
      </w:r>
    </w:p>
    <w:p>
      <w:pPr>
        <w:pStyle w:val="FirstParagraph"/>
      </w:pPr>
      <w:r>
        <w:t xml:space="preserve">A multi-channel approach targeting Belgium Brussels decision-makers:</w:t>
      </w:r>
    </w:p>
    <w:p>
      <w:pPr>
        <w:numPr>
          <w:ilvl w:val="0"/>
          <w:numId w:val="1006"/>
        </w:numPr>
        <w:pStyle w:val="Compact"/>
      </w:pPr>
      <w:r>
        <w:rPr>
          <w:iCs/>
          <w:i/>
        </w:rPr>
        <w:t xml:space="preserve">Government Relations:</w:t>
      </w:r>
      <w:r>
        <w:t xml:space="preserve"> </w:t>
      </w:r>
      <w:r>
        <w:t xml:space="preserve">Official partnerships with Brussels' "Sustainable Infrastructure Commission" and regular participation in EU Urban Mobility Week events.</w:t>
      </w:r>
    </w:p>
    <w:p>
      <w:pPr>
        <w:numPr>
          <w:ilvl w:val="0"/>
          <w:numId w:val="1006"/>
        </w:numPr>
        <w:pStyle w:val="Compact"/>
      </w:pPr>
      <w:r>
        <w:rPr>
          <w:iCs/>
          <w:i/>
        </w:rPr>
        <w:t xml:space="preserve">Digital Marketing:</w:t>
      </w:r>
      <w:r>
        <w:t xml:space="preserve"> </w:t>
      </w:r>
      <w:r>
        <w:t xml:space="preserve">SEO-optimized content targeting keywords like "civil engineer Brussels," "sustainable infrastructure Belgium" with localized Google Ads campaigns.</w:t>
      </w:r>
    </w:p>
    <w:p>
      <w:pPr>
        <w:numPr>
          <w:ilvl w:val="0"/>
          <w:numId w:val="1006"/>
        </w:numPr>
        <w:pStyle w:val="Compact"/>
      </w:pPr>
      <w:r>
        <w:rPr>
          <w:iCs/>
          <w:i/>
        </w:rPr>
        <w:t xml:space="preserve">Content Marketing:</w:t>
      </w:r>
      <w:r>
        <w:t xml:space="preserve"> </w:t>
      </w:r>
      <w:r>
        <w:t xml:space="preserve">Monthly webinars on topics like "Navigating the 2025 Brussels Flood Prevention Regulations" featuring our lead Civil Engineer.</w:t>
      </w:r>
    </w:p>
    <w:p>
      <w:pPr>
        <w:numPr>
          <w:ilvl w:val="0"/>
          <w:numId w:val="1006"/>
        </w:numPr>
        <w:pStyle w:val="Compact"/>
      </w:pPr>
      <w:r>
        <w:rPr>
          <w:iCs/>
          <w:i/>
        </w:rPr>
        <w:t xml:space="preserve">Industry Partnerships:</w:t>
      </w:r>
      <w:r>
        <w:t xml:space="preserve"> </w:t>
      </w:r>
      <w:r>
        <w:t xml:space="preserve">Co-hosting workshops with the Belgian Engineering Council (BEC) and Brussels Chamber of Commerce.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Year 1:</w:t>
            </w:r>
            <w:r>
              <w:t xml:space="preserve"> </w:t>
            </w:r>
            <w:r>
              <w:t xml:space="preserve">Establish Brussels office; launch targeted LinkedIn campaigns; secure 3 pilot public sector projects</w:t>
            </w:r>
          </w:p>
        </w:tc>
      </w:tr>
      <w:tr>
        <w:tc>
          <w:tcPr/>
          <w:p>
            <w:pPr>
              <w:pStyle w:val="Compact"/>
              <w:jc w:val="left"/>
            </w:pPr>
            <w:r>
              <w:rPr>
                <w:bCs/>
                <w:b/>
              </w:rPr>
              <w:t xml:space="preserve">Q2 Year 1:</w:t>
            </w:r>
            <w:r>
              <w:t xml:space="preserve"> </w:t>
            </w:r>
            <w:r>
              <w:t xml:space="preserve">Publish first whitepaper on "Brussels' Climate-Resilient Infrastructure Framework"; initiate BEC partnership</w:t>
            </w:r>
          </w:p>
        </w:tc>
      </w:tr>
      <w:tr>
        <w:tc>
          <w:tcPr/>
          <w:p>
            <w:pPr>
              <w:pStyle w:val="Compact"/>
              <w:jc w:val="left"/>
            </w:pPr>
            <w:r>
              <w:rPr>
                <w:bCs/>
                <w:b/>
              </w:rPr>
              <w:t xml:space="preserve">Q3 Year 1:</w:t>
            </w:r>
            <w:r>
              <w:t xml:space="preserve"> </w:t>
            </w:r>
            <w:r>
              <w:t xml:space="preserve">Implement digital client portal; host inaugural urban sustainability forum in Brussels</w:t>
            </w:r>
          </w:p>
        </w:tc>
      </w:tr>
      <w:tr>
        <w:tc>
          <w:tcPr/>
          <w:p>
            <w:pPr>
              <w:pStyle w:val="Compact"/>
              <w:jc w:val="left"/>
            </w:pPr>
            <w:r>
              <w:rPr>
                <w:bCs/>
                <w:b/>
              </w:rPr>
              <w:t xml:space="preserve">Q4 Year 1:</w:t>
            </w:r>
            <w:r>
              <w:t xml:space="preserve"> </w:t>
            </w:r>
            <w:r>
              <w:t xml:space="preserve">Achieve 50% of annual revenue target; initiate expansion into Wallonia region with Brussels case studies</w:t>
            </w:r>
          </w:p>
        </w:tc>
      </w:tr>
    </w:tbl>
    <w:bookmarkEnd w:id="29"/>
    <w:bookmarkStart w:id="30" w:name="budget-allocation-year-1"/>
    <w:p>
      <w:pPr>
        <w:pStyle w:val="Heading2"/>
      </w:pPr>
      <w:r>
        <w:t xml:space="preserve">Budget Allocation (Year 1)</w:t>
      </w:r>
    </w:p>
    <w:p>
      <w:pPr>
        <w:pStyle w:val="FirstParagraph"/>
      </w:pPr>
      <w:r>
        <w:t xml:space="preserve">Total Budget: €285,000</w:t>
      </w:r>
    </w:p>
    <w:p>
      <w:pPr>
        <w:numPr>
          <w:ilvl w:val="0"/>
          <w:numId w:val="1007"/>
        </w:numPr>
        <w:pStyle w:val="Compact"/>
      </w:pPr>
      <w:r>
        <w:t xml:space="preserve">Marketing &amp; Promotion: 45% (€128,250) – Digital campaigns, events, content creation</w:t>
      </w:r>
    </w:p>
    <w:p>
      <w:pPr>
        <w:numPr>
          <w:ilvl w:val="0"/>
          <w:numId w:val="1007"/>
        </w:numPr>
        <w:pStyle w:val="Compact"/>
      </w:pPr>
      <w:r>
        <w:t xml:space="preserve">Technology &amp; Tools: 30% (€85,500) – BIM software licenses, CRM system for Belgium Brussels clients</w:t>
      </w:r>
    </w:p>
    <w:p>
      <w:pPr>
        <w:numPr>
          <w:ilvl w:val="0"/>
          <w:numId w:val="1007"/>
        </w:numPr>
        <w:pStyle w:val="Compact"/>
      </w:pPr>
      <w:r>
        <w:t xml:space="preserve">Partnerships &amp; Events: 15% (€42,750) – Conference sponsorships at Brussels infrastructure events</w:t>
      </w:r>
    </w:p>
    <w:p>
      <w:pPr>
        <w:numPr>
          <w:ilvl w:val="0"/>
          <w:numId w:val="1007"/>
        </w:numPr>
        <w:pStyle w:val="Compact"/>
      </w:pPr>
      <w:r>
        <w:t xml:space="preserve">Contingency: 10% (€28,500)</w:t>
      </w:r>
    </w:p>
    <w:bookmarkEnd w:id="30"/>
    <w:bookmarkStart w:id="31" w:name="evaluation-framework"/>
    <w:p>
      <w:pPr>
        <w:pStyle w:val="Heading2"/>
      </w:pPr>
      <w:r>
        <w:t xml:space="preserve">Evaluation Framework</w:t>
      </w:r>
    </w:p>
    <w:p>
      <w:pPr>
        <w:pStyle w:val="FirstParagraph"/>
      </w:pPr>
      <w:r>
        <w:t xml:space="preserve">We measure success through Brussels-specific KPIs:</w:t>
      </w:r>
    </w:p>
    <w:p>
      <w:pPr>
        <w:numPr>
          <w:ilvl w:val="0"/>
          <w:numId w:val="1008"/>
        </w:numPr>
        <w:pStyle w:val="Compact"/>
      </w:pPr>
      <w:r>
        <w:rPr>
          <w:iCs/>
          <w:i/>
        </w:rPr>
        <w:t xml:space="preserve">Client Acquisition Cost:</w:t>
      </w:r>
      <w:r>
        <w:t xml:space="preserve"> </w:t>
      </w:r>
      <w:r>
        <w:t xml:space="preserve">Target ≤ €7,500 per Belgium Brussels client (industry average: €9,800)</w:t>
      </w:r>
    </w:p>
    <w:p>
      <w:pPr>
        <w:numPr>
          <w:ilvl w:val="0"/>
          <w:numId w:val="1008"/>
        </w:numPr>
        <w:pStyle w:val="Compact"/>
      </w:pPr>
      <w:r>
        <w:rPr>
          <w:iCs/>
          <w:i/>
        </w:rPr>
        <w:t xml:space="preserve">Market Share Growth:</w:t>
      </w:r>
      <w:r>
        <w:t xml:space="preserve"> </w:t>
      </w:r>
      <w:r>
        <w:t xml:space="preserve">Quarterly tracking via local engineering association data</w:t>
      </w:r>
    </w:p>
    <w:p>
      <w:pPr>
        <w:numPr>
          <w:ilvl w:val="0"/>
          <w:numId w:val="1008"/>
        </w:numPr>
        <w:pStyle w:val="Compact"/>
      </w:pPr>
      <w:r>
        <w:rPr>
          <w:iCs/>
          <w:i/>
        </w:rPr>
        <w:t xml:space="preserve">Sustainability Impact:</w:t>
      </w:r>
      <w:r>
        <w:t xml:space="preserve"> </w:t>
      </w:r>
      <w:r>
        <w:t xml:space="preserve">Measured through carbon reduction metrics in completed projects (e.g., 25% lower emissions vs. baseline)</w:t>
      </w:r>
    </w:p>
    <w:bookmarkEnd w:id="31"/>
    <w:bookmarkStart w:id="32" w:name="X3310b4c7816d13203bae55c89922e45e52ecbb2"/>
    <w:p>
      <w:pPr>
        <w:pStyle w:val="Heading2"/>
      </w:pPr>
      <w:r>
        <w:t xml:space="preserve">Competitive Advantage in Belgium Brussels Context</w:t>
      </w:r>
    </w:p>
    <w:p>
      <w:pPr>
        <w:pStyle w:val="FirstParagraph"/>
      </w:pPr>
      <w:r>
        <w:t xml:space="preserve">Unlike multinational firms, our Civil Engineer expertise is hyper-localized to Belgium's administrative nuances. We possess exclusive knowledge of:</w:t>
      </w:r>
    </w:p>
    <w:p>
      <w:pPr>
        <w:numPr>
          <w:ilvl w:val="0"/>
          <w:numId w:val="1009"/>
        </w:numPr>
        <w:pStyle w:val="Compact"/>
      </w:pPr>
      <w:r>
        <w:t xml:space="preserve">The 7-step approval process for construction in Brussels Historic Zones</w:t>
      </w:r>
    </w:p>
    <w:p>
      <w:pPr>
        <w:numPr>
          <w:ilvl w:val="0"/>
          <w:numId w:val="1009"/>
        </w:numPr>
        <w:pStyle w:val="Compact"/>
      </w:pPr>
      <w:r>
        <w:t xml:space="preserve">Brussels' specific soil remediation requirements under the "Brussels Environmental Code"</w:t>
      </w:r>
    </w:p>
    <w:p>
      <w:pPr>
        <w:numPr>
          <w:ilvl w:val="0"/>
          <w:numId w:val="1009"/>
        </w:numPr>
        <w:pStyle w:val="Compact"/>
      </w:pPr>
      <w:r>
        <w:t xml:space="preserve">Cultural protocols for stakeholder engagement with diverse neighborhood associations (e.g., Marolles, Ixelles)</w:t>
      </w:r>
    </w:p>
    <w:bookmarkEnd w:id="32"/>
    <w:bookmarkStart w:id="33" w:name="X5d09de80bf3572bfb3b58b50b70e7b41b9bb85c"/>
    <w:p>
      <w:pPr>
        <w:pStyle w:val="Heading2"/>
      </w:pPr>
      <w:r>
        <w:t xml:space="preserve">Conclusion: Delivering Civil Engineering Excellence in Belgium Brussels</w:t>
      </w:r>
    </w:p>
    <w:p>
      <w:pPr>
        <w:pStyle w:val="FirstParagraph"/>
      </w:pPr>
      <w:r>
        <w:t xml:space="preserve">This Marketing Plan positions our Civil Engineer services as the strategic partner for navigating Brussels' infrastructure evolution. By deeply embedding our operations within the city's regulatory ecosystem and sustainability imperatives, we transform technical engineering into a catalyst for Brussels' future. The targeted approach – emphasizing local expertise, climate resilience, and EU compliance – directly addresses gaps in the Belgium Brussels market where generic engineering firms fail to deliver context-specific solutions. With this plan, we don't just provide civil engineering services; we become indispensable co-architects of a more sustainable and resilient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Belgium Brussels</dc:title>
  <dc:creator/>
  <dc:language>en</dc:language>
  <cp:keywords/>
  <dcterms:created xsi:type="dcterms:W3CDTF">2026-09-27T07:41:18Z</dcterms:created>
  <dcterms:modified xsi:type="dcterms:W3CDTF">2026-09-27T07:41:18Z</dcterms:modified>
</cp:coreProperties>
</file>

<file path=docProps/custom.xml><?xml version="1.0" encoding="utf-8"?>
<Properties xmlns="http://schemas.openxmlformats.org/officeDocument/2006/custom-properties" xmlns:vt="http://schemas.openxmlformats.org/officeDocument/2006/docPropsVTypes"/>
</file>