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2" w:name="Xf78188883a2a384ac45c17edb8be4a005e08a25"/>
    <w:p>
      <w:pPr>
        <w:pStyle w:val="Heading1"/>
      </w:pPr>
      <w:r>
        <w:t xml:space="preserve">Comprehensive Marketing Plan for Civil Engineering Services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scaling civil engineering services in the competitive urban landscape of Colombia Bogotá. As the nation's capital and economic hub, Bogotá faces unprecedented infrastructure demands driven by population growth (over 8 million residents), urbanization pressures, and government initiatives like "Bogotá 2050." Our firm targets to become the leading civil engineering consultancy in Colombia Bogotá by delivering innovative, sustainable solutions for transportation networks, residential developments, and public infrastructure. This plan details how we will leverage local expertise, regulatory knowledge, and community engagement to capture 15% market share within three years while establishing a reputation for excellence in Colombian engineering standards.</w:t>
      </w:r>
    </w:p>
    <w:bookmarkEnd w:id="20"/>
    <w:bookmarkStart w:id="21" w:name="X060d11d6a578468f8507d513ac86d60948ebedc"/>
    <w:p>
      <w:pPr>
        <w:pStyle w:val="Heading2"/>
      </w:pPr>
      <w:r>
        <w:t xml:space="preserve">Situation Analysis: Civil Engineering Landscape in Colombia Bogotá</w:t>
      </w:r>
    </w:p>
    <w:p>
      <w:pPr>
        <w:pStyle w:val="FirstParagraph"/>
      </w:pPr>
      <w:r>
        <w:t xml:space="preserve">Bogotá's infrastructure challenges present both urgency and opportunity. The city requires $70 billion in infrastructure investment through 2030 (World Bank, 2023) for road rehabilitation, flood management, and transit systems. Current civil engineering service providers face fragmentation with limited regional specialization. Key pain points include:</w:t>
      </w:r>
    </w:p>
    <w:p>
      <w:pPr>
        <w:numPr>
          <w:ilvl w:val="0"/>
          <w:numId w:val="1001"/>
        </w:numPr>
        <w:pStyle w:val="Compact"/>
      </w:pPr>
      <w:r>
        <w:rPr>
          <w:bCs/>
          <w:b/>
        </w:rPr>
        <w:t xml:space="preserve">Regulatory Complexity:</w:t>
      </w:r>
      <w:r>
        <w:t xml:space="preserve"> </w:t>
      </w:r>
      <w:r>
        <w:t xml:space="preserve">Navigating Colombia's technical standards (NORMAS TÉCNICAS COLOMBIANAS) and municipal permits.</w:t>
      </w:r>
    </w:p>
    <w:p>
      <w:pPr>
        <w:numPr>
          <w:ilvl w:val="0"/>
          <w:numId w:val="1001"/>
        </w:numPr>
        <w:pStyle w:val="Compact"/>
      </w:pPr>
      <w:r>
        <w:rPr>
          <w:bCs/>
          <w:b/>
        </w:rPr>
        <w:t xml:space="preserve">Sustainability Demands:</w:t>
      </w:r>
      <w:r>
        <w:t xml:space="preserve"> </w:t>
      </w:r>
      <w:r>
        <w:t xml:space="preserve">Increasing client requirements for green building certifications (LEED, BREEAM) in Bogotá's new developments.</w:t>
      </w:r>
    </w:p>
    <w:p>
      <w:pPr>
        <w:numPr>
          <w:ilvl w:val="0"/>
          <w:numId w:val="1001"/>
        </w:numPr>
        <w:pStyle w:val="Compact"/>
      </w:pPr>
      <w:r>
        <w:rPr>
          <w:bCs/>
          <w:b/>
        </w:rPr>
        <w:t xml:space="preserve">Urban Density Pressures:</w:t>
      </w:r>
      <w:r>
        <w:t xml:space="preserve"> </w:t>
      </w:r>
      <w:r>
        <w:t xml:space="preserve">Limited space necessitating innovative structural engineering solutions for high-rise construction.</w:t>
      </w:r>
    </w:p>
    <w:p>
      <w:pPr>
        <w:pStyle w:val="FirstParagraph"/>
      </w:pPr>
      <w:r>
        <w:t xml:space="preserve">A recent survey of 200 Bogotá developers revealed 68% prioritized local civil engineer expertise over national firms, citing better understanding of seismic risks and soil conditions specific to the Eastern Andes region.</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Size (Bogotá)</w:t>
      </w:r>
    </w:p>
    <w:p>
      <w:pPr>
        <w:pStyle w:val="BodyText"/>
      </w:pPr>
      <w:r>
        <w:t xml:space="preserve">Pain Points</w:t>
      </w:r>
    </w:p>
    <w:p>
      <w:pPr>
        <w:pStyle w:val="BodyText"/>
      </w:pPr>
      <w:r>
        <w:t xml:space="preserve">Our Solution Focus</w:t>
      </w:r>
    </w:p>
    <w:p>
      <w:pPr>
        <w:pStyle w:val="BodyText"/>
      </w:pPr>
      <w:r>
        <w:rPr>
          <w:bCs/>
          <w:b/>
        </w:rPr>
        <w:t xml:space="preserve">Public Sector:</w:t>
      </w:r>
      <w:r>
        <w:br/>
      </w:r>
      <w:r>
        <w:t xml:space="preserve">(Municipal Projects)</w:t>
      </w:r>
    </w:p>
    <w:p>
      <w:pPr>
        <w:pStyle w:val="BodyText"/>
      </w:pPr>
      <w:r>
        <w:t xml:space="preserve">12,000+ projects/year</w:t>
      </w:r>
    </w:p>
    <w:p>
      <w:pPr>
        <w:pStyle w:val="BodyText"/>
      </w:pPr>
      <w:r>
        <w:t xml:space="preserve">Budget constraints, slow permitting, community opposition</w:t>
      </w:r>
    </w:p>
    <w:p>
      <w:pPr>
        <w:pStyle w:val="BodyText"/>
      </w:pPr>
      <w:r>
        <w:t xml:space="preserve">Cost-effective designs with community consultation frameworks</w:t>
      </w:r>
    </w:p>
    <w:p>
      <w:pPr>
        <w:pStyle w:val="BodyText"/>
      </w:pPr>
      <w:r>
        <w:rPr>
          <w:bCs/>
          <w:b/>
        </w:rPr>
        <w:t xml:space="preserve">Private Developers:</w:t>
      </w:r>
      <w:r>
        <w:br/>
      </w:r>
      <w:r>
        <w:t xml:space="preserve">(Residential/Commercial)</w:t>
      </w:r>
    </w:p>
    <w:p>
      <w:pPr>
        <w:pStyle w:val="BodyText"/>
      </w:pPr>
      <w:r>
        <w:t xml:space="preserve">850+ active firms in Bogotá</w:t>
      </w:r>
    </w:p>
    <w:p>
      <w:pPr>
        <w:pStyle w:val="BodyText"/>
      </w:pPr>
      <w:r>
        <w:t xml:space="preserve">Time-to-market delays, compliance risks</w:t>
      </w:r>
    </w:p>
    <w:p>
      <w:pPr>
        <w:pStyle w:val="BodyText"/>
      </w:pPr>
      <w:r>
        <w:rPr>
          <w:bCs/>
          <w:b/>
        </w:rPr>
        <w:t xml:space="preserve">Real Estate Investors:</w:t>
      </w:r>
      <w:r>
        <w:br/>
      </w:r>
      <w:r>
        <w:t xml:space="preserve">(New Market Entrants)</w:t>
      </w:r>
    </w:p>
    <w:p>
      <w:pPr>
        <w:pStyle w:val="BodyText"/>
      </w:pPr>
      <w:r>
        <w:t xml:space="preserve">30% YoY growth (2022-2023)</w:t>
      </w:r>
    </w:p>
    <w:p>
      <w:pPr>
        <w:numPr>
          <w:ilvl w:val="0"/>
          <w:numId w:val="1002"/>
        </w:numPr>
        <w:pStyle w:val="Compact"/>
      </w:pPr>
      <w:r>
        <w:t xml:space="preserve">Land acquisition complexity, zoning compliance</w:t>
      </w:r>
    </w:p>
    <w:bookmarkEnd w:id="22"/>
    <w:bookmarkStart w:id="23" w:name="marketing-objectives-year-1"/>
    <w:p>
      <w:pPr>
        <w:pStyle w:val="Heading2"/>
      </w:pPr>
      <w:r>
        <w:t xml:space="preserve">Marketing Objectives (Year 1)</w:t>
      </w:r>
    </w:p>
    <w:p>
      <w:pPr>
        <w:numPr>
          <w:ilvl w:val="0"/>
          <w:numId w:val="1003"/>
        </w:numPr>
        <w:pStyle w:val="Compact"/>
      </w:pPr>
      <w:r>
        <w:rPr>
          <w:bCs/>
          <w:b/>
        </w:rPr>
        <w:t xml:space="preserve">Brand Positioning:</w:t>
      </w:r>
      <w:r>
        <w:t xml:space="preserve"> </w:t>
      </w:r>
      <w:r>
        <w:t xml:space="preserve">Achieve 85% recognition as Bogotá's most trusted civil engineer in sustainable infrastructure solutions.</w:t>
      </w:r>
    </w:p>
    <w:p>
      <w:pPr>
        <w:numPr>
          <w:ilvl w:val="0"/>
          <w:numId w:val="1003"/>
        </w:numPr>
        <w:pStyle w:val="Compact"/>
      </w:pPr>
      <w:r>
        <w:rPr>
          <w:bCs/>
          <w:b/>
        </w:rPr>
        <w:t xml:space="preserve">Market Share:</w:t>
      </w:r>
      <w:r>
        <w:t xml:space="preserve"> </w:t>
      </w:r>
      <w:r>
        <w:t xml:space="preserve">Capture 7% of municipal engineering contracts and 5% of private sector projects within Colombia Bogotá.</w:t>
      </w:r>
    </w:p>
    <w:p>
      <w:pPr>
        <w:numPr>
          <w:ilvl w:val="0"/>
          <w:numId w:val="1003"/>
        </w:numPr>
        <w:pStyle w:val="Compact"/>
      </w:pPr>
      <w:r>
        <w:rPr>
          <w:bCs/>
          <w:b/>
        </w:rPr>
        <w:t xml:space="preserve">Lead Generation:</w:t>
      </w:r>
      <w:r>
        <w:t xml:space="preserve"> </w:t>
      </w:r>
      <w:r>
        <w:t xml:space="preserve">Generate 200 qualified leads monthly through digital channels focused on Bogotá-specific needs.</w:t>
      </w:r>
    </w:p>
    <w:p>
      <w:pPr>
        <w:numPr>
          <w:ilvl w:val="0"/>
          <w:numId w:val="1003"/>
        </w:numPr>
        <w:pStyle w:val="Compact"/>
      </w:pPr>
      <w:r>
        <w:rPr>
          <w:bCs/>
          <w:b/>
        </w:rPr>
        <w:t xml:space="preserve">Credibility:</w:t>
      </w:r>
      <w:r>
        <w:t xml:space="preserve"> </w:t>
      </w:r>
      <w:r>
        <w:t xml:space="preserve">Secure 3 major public infrastructure case studies (e.g., TransMilenio expansion, Parque de los Recreos remediation).</w:t>
      </w:r>
    </w:p>
    <w:bookmarkEnd w:id="23"/>
    <w:bookmarkStart w:id="28" w:name="X30141b8e24d2b65c8fcb0750e188b31824a1efb"/>
    <w:p>
      <w:pPr>
        <w:pStyle w:val="Heading2"/>
      </w:pPr>
      <w:r>
        <w:t xml:space="preserve">Strategic Marketing Mix: The "Bogotá Engineering Advantage"</w:t>
      </w:r>
    </w:p>
    <w:p>
      <w:pPr>
        <w:pStyle w:val="FirstParagraph"/>
      </w:pPr>
      <w:r>
        <w:t xml:space="preserve">We implement a 4P framework uniquely adapted for Colombia's civil engineering market:</w:t>
      </w:r>
    </w:p>
    <w:bookmarkStart w:id="24" w:name="product"/>
    <w:p>
      <w:pPr>
        <w:pStyle w:val="Heading3"/>
      </w:pPr>
      <w:r>
        <w:t xml:space="preserve">Product</w:t>
      </w:r>
    </w:p>
    <w:p>
      <w:pPr>
        <w:pStyle w:val="FirstParagraph"/>
      </w:pPr>
      <w:r>
        <w:t xml:space="preserve">Our service portfolio includes:</w:t>
      </w:r>
    </w:p>
    <w:p>
      <w:pPr>
        <w:numPr>
          <w:ilvl w:val="0"/>
          <w:numId w:val="1004"/>
        </w:numPr>
        <w:pStyle w:val="Compact"/>
      </w:pPr>
      <w:r>
        <w:rPr>
          <w:bCs/>
          <w:b/>
        </w:rPr>
        <w:t xml:space="preserve">Bogotá Urban Infrastructure Solutions:</w:t>
      </w:r>
      <w:r>
        <w:t xml:space="preserve"> </w:t>
      </w:r>
      <w:r>
        <w:t xml:space="preserve">Specialized designs for narrow urban lots, seismic retrofitting, and drainage in high-precipitation zones (Bogotá averages 1,000mm annual rainfall).</w:t>
      </w:r>
    </w:p>
    <w:p>
      <w:pPr>
        <w:numPr>
          <w:ilvl w:val="0"/>
          <w:numId w:val="1004"/>
        </w:numPr>
        <w:pStyle w:val="Compact"/>
      </w:pPr>
      <w:r>
        <w:rPr>
          <w:bCs/>
          <w:b/>
        </w:rPr>
        <w:t xml:space="preserve">Sustainability Integration:</w:t>
      </w:r>
      <w:r>
        <w:t xml:space="preserve"> </w:t>
      </w:r>
      <w:r>
        <w:t xml:space="preserve">Mandatory BREEAM certification support for all projects above 5,000 m² in Bogotá.</w:t>
      </w:r>
    </w:p>
    <w:p>
      <w:pPr>
        <w:numPr>
          <w:ilvl w:val="0"/>
          <w:numId w:val="1004"/>
        </w:numPr>
        <w:pStyle w:val="Compact"/>
      </w:pPr>
      <w:r>
        <w:rPr>
          <w:bCs/>
          <w:b/>
        </w:rPr>
        <w:t xml:space="preserve">Regulatory Navigation:</w:t>
      </w:r>
      <w:r>
        <w:t xml:space="preserve"> </w:t>
      </w:r>
      <w:r>
        <w:t xml:space="preserve">In-house team with direct access to Cundinamarca Department's engineering offices.</w:t>
      </w:r>
    </w:p>
    <w:bookmarkEnd w:id="24"/>
    <w:bookmarkStart w:id="25" w:name="pricing"/>
    <w:p>
      <w:pPr>
        <w:pStyle w:val="Heading3"/>
      </w:pPr>
      <w:r>
        <w:t xml:space="preserve">Pricing</w:t>
      </w:r>
    </w:p>
    <w:p>
      <w:pPr>
        <w:pStyle w:val="FirstParagraph"/>
      </w:pPr>
      <w:r>
        <w:t xml:space="preserve">A value-based model that undercuts competitors by 12-15% through localized efficiency (reducing site visits via Bogotá-specific GIS mapping). Tiered pricing for:</w:t>
      </w:r>
    </w:p>
    <w:p>
      <w:pPr>
        <w:numPr>
          <w:ilvl w:val="0"/>
          <w:numId w:val="1005"/>
        </w:numPr>
        <w:pStyle w:val="Compact"/>
      </w:pPr>
      <w:r>
        <w:t xml:space="preserve">Standard Municipal Contracts: Fixed fee + 5% performance bonus</w:t>
      </w:r>
    </w:p>
    <w:p>
      <w:pPr>
        <w:numPr>
          <w:ilvl w:val="0"/>
          <w:numId w:val="1005"/>
        </w:numPr>
        <w:pStyle w:val="Compact"/>
      </w:pPr>
      <w:r>
        <w:t xml:space="preserve">Private Developers: Retainer model with cost savings guarantee</w:t>
      </w:r>
    </w:p>
    <w:bookmarkEnd w:id="25"/>
    <w:bookmarkStart w:id="26" w:name="promotion"/>
    <w:p>
      <w:pPr>
        <w:pStyle w:val="Heading3"/>
      </w:pPr>
      <w:r>
        <w:t xml:space="preserve">Promotion</w:t>
      </w:r>
    </w:p>
    <w:p>
      <w:pPr>
        <w:pStyle w:val="FirstParagraph"/>
      </w:pPr>
      <w:r>
        <w:t xml:space="preserve">Hyper-localized tactics for Colombia Bogotá:</w:t>
      </w:r>
    </w:p>
    <w:p>
      <w:pPr>
        <w:numPr>
          <w:ilvl w:val="0"/>
          <w:numId w:val="1006"/>
        </w:numPr>
        <w:pStyle w:val="Compact"/>
      </w:pPr>
      <w:r>
        <w:rPr>
          <w:bCs/>
          <w:b/>
        </w:rPr>
        <w:t xml:space="preserve">Community-Driven Content:</w:t>
      </w:r>
      <w:r>
        <w:t xml:space="preserve"> </w:t>
      </w:r>
      <w:r>
        <w:t xml:space="preserve">Free "Bogotá Infrastructure Health" webinars addressing neighborhood-specific challenges (e.g., "Calle 100 Drainage Solutions").</w:t>
      </w:r>
    </w:p>
    <w:p>
      <w:pPr>
        <w:numPr>
          <w:ilvl w:val="0"/>
          <w:numId w:val="1006"/>
        </w:numPr>
        <w:pStyle w:val="Compact"/>
      </w:pPr>
      <w:r>
        <w:rPr>
          <w:bCs/>
          <w:b/>
        </w:rPr>
        <w:t xml:space="preserve">Digital Targeting:</w:t>
      </w:r>
      <w:r>
        <w:t xml:space="preserve"> </w:t>
      </w:r>
      <w:r>
        <w:t xml:space="preserve">Geo-fenced LinkedIn campaigns focusing on Bogotá developers, with content in Spanish/English bilingual format.</w:t>
      </w:r>
    </w:p>
    <w:p>
      <w:pPr>
        <w:numPr>
          <w:ilvl w:val="0"/>
          <w:numId w:val="1006"/>
        </w:numPr>
        <w:pStyle w:val="Compact"/>
      </w:pPr>
      <w:r>
        <w:rPr>
          <w:bCs/>
          <w:b/>
        </w:rPr>
        <w:t xml:space="preserve">Public Sector Partnerships:</w:t>
      </w:r>
      <w:r>
        <w:t xml:space="preserve"> </w:t>
      </w:r>
      <w:r>
        <w:t xml:space="preserve">Co-hosting technical workshops with the District Planning Department (DNP) for municipal staff.</w:t>
      </w:r>
    </w:p>
    <w:p>
      <w:pPr>
        <w:numPr>
          <w:ilvl w:val="0"/>
          <w:numId w:val="1006"/>
        </w:numPr>
        <w:pStyle w:val="Compact"/>
      </w:pPr>
      <w:r>
        <w:rPr>
          <w:bCs/>
          <w:b/>
        </w:rPr>
        <w:t xml:space="preserve">Social Proof:</w:t>
      </w:r>
      <w:r>
        <w:t xml:space="preserve"> </w:t>
      </w:r>
      <w:r>
        <w:t xml:space="preserve">Case studies featuring Bogotá landmarks like "Parque Nacional" retrofitting project in all marketing collateral.</w:t>
      </w:r>
    </w:p>
    <w:bookmarkEnd w:id="26"/>
    <w:bookmarkStart w:id="27" w:name="place"/>
    <w:p>
      <w:pPr>
        <w:pStyle w:val="Heading3"/>
      </w:pPr>
      <w:r>
        <w:t xml:space="preserve">Place</w:t>
      </w:r>
    </w:p>
    <w:p>
      <w:pPr>
        <w:pStyle w:val="FirstParagraph"/>
      </w:pPr>
      <w:r>
        <w:t xml:space="preserve">Localized service delivery with physical offices in:</w:t>
      </w:r>
    </w:p>
    <w:p>
      <w:pPr>
        <w:numPr>
          <w:ilvl w:val="0"/>
          <w:numId w:val="1007"/>
        </w:numPr>
        <w:pStyle w:val="Compact"/>
      </w:pPr>
      <w:r>
        <w:rPr>
          <w:bCs/>
          <w:b/>
        </w:rPr>
        <w:t xml:space="preserve">Bogotá City Center:</w:t>
      </w:r>
      <w:r>
        <w:t xml:space="preserve"> </w:t>
      </w:r>
      <w:r>
        <w:t xml:space="preserve">For high-profile public projects (Calle 72 office)</w:t>
      </w:r>
    </w:p>
    <w:p>
      <w:pPr>
        <w:numPr>
          <w:ilvl w:val="0"/>
          <w:numId w:val="1007"/>
        </w:numPr>
        <w:pStyle w:val="Compact"/>
      </w:pPr>
      <w:r>
        <w:rPr>
          <w:bCs/>
          <w:b/>
        </w:rPr>
        <w:t xml:space="preserve">Southwest Bogotá Hub:</w:t>
      </w:r>
      <w:r>
        <w:t xml:space="preserve"> </w:t>
      </w:r>
      <w:r>
        <w:t xml:space="preserve">Near major construction zones (Chía office)</w:t>
      </w:r>
    </w:p>
    <w:bookmarkEnd w:id="27"/>
    <w:bookmarkEnd w:id="28"/>
    <w:bookmarkStart w:id="29" w:name="budget-allocation-colombia-bogotá-focus"/>
    <w:p>
      <w:pPr>
        <w:pStyle w:val="Heading2"/>
      </w:pPr>
      <w:r>
        <w:t xml:space="preserve">Budget Allocation: Colombia Bogotá Focus</w:t>
      </w:r>
    </w:p>
    <w:p>
      <w:pPr>
        <w:pStyle w:val="FirstParagraph"/>
      </w:pPr>
      <w:r>
        <w:t xml:space="preserve">Total Year 1 Budget: $480,000 (57% allocated to local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Local Relevance in Bogotá</w:t>
            </w:r>
          </w:p>
        </w:tc>
      </w:tr>
      <w:tr>
        <w:tc>
          <w:tcPr/>
          <w:p>
            <w:pPr>
              <w:pStyle w:val="Compact"/>
              <w:jc w:val="left"/>
            </w:pPr>
            <w:r>
              <w:t xml:space="preserve">Digital Marketing (SEO/Content)</w:t>
            </w:r>
          </w:p>
        </w:tc>
        <w:tc>
          <w:tcPr/>
          <w:p>
            <w:pPr>
              <w:pStyle w:val="Compact"/>
              <w:jc w:val="left"/>
            </w:pPr>
            <w:r>
              <w:t xml:space="preserve">$120,000 (25%)</w:t>
            </w:r>
          </w:p>
        </w:tc>
        <w:tc>
          <w:tcPr/>
          <w:p>
            <w:pPr>
              <w:pStyle w:val="Compact"/>
              <w:jc w:val="left"/>
            </w:pPr>
            <w:r>
              <w:t xml:space="preserve">Tailored to Bogotá keywords: "civil engineer bogota", "urban infrastructure Colombia"</w:t>
            </w:r>
          </w:p>
        </w:tc>
      </w:tr>
      <w:tr>
        <w:tc>
          <w:tcPr/>
          <w:p>
            <w:pPr>
              <w:pStyle w:val="Compact"/>
              <w:jc w:val="left"/>
            </w:pPr>
            <w:r>
              <w:t xml:space="preserve">Community Events</w:t>
            </w:r>
          </w:p>
        </w:tc>
        <w:tc>
          <w:tcPr/>
          <w:p>
            <w:pPr>
              <w:pStyle w:val="Compact"/>
              <w:jc w:val="left"/>
            </w:pPr>
            <w:r>
              <w:t xml:space="preserve">$96,000 (20%)</w:t>
            </w:r>
          </w:p>
        </w:tc>
        <w:tc>
          <w:tcPr/>
          <w:p>
            <w:pPr>
              <w:pStyle w:val="Compact"/>
              <w:jc w:val="left"/>
            </w:pPr>
            <w:r>
              <w:t xml:space="preserve">Neighborhood workshops in Engativá, Usaquén addressing local drainage issues</w:t>
            </w:r>
          </w:p>
        </w:tc>
      </w:tr>
      <w:tr>
        <w:tc>
          <w:tcPr/>
          <w:p>
            <w:pPr>
              <w:pStyle w:val="Compact"/>
              <w:jc w:val="left"/>
            </w:pPr>
            <w:r>
              <w:t xml:space="preserve">Public Sector Partnerships</w:t>
            </w:r>
          </w:p>
        </w:tc>
        <w:tc>
          <w:tcPr/>
          <w:p>
            <w:pPr>
              <w:pStyle w:val="Compact"/>
              <w:jc w:val="left"/>
            </w:pPr>
            <w:r>
              <w:t xml:space="preserve">$114,000 (24%)</w:t>
            </w:r>
          </w:p>
        </w:tc>
        <w:tc>
          <w:tcPr/>
          <w:p>
            <w:pPr>
              <w:pStyle w:val="Compact"/>
              <w:jc w:val="left"/>
            </w:pPr>
            <w:r>
              <w:t xml:space="preserve">Municipal grant applications and joint technical forums</w:t>
            </w:r>
          </w:p>
        </w:tc>
      </w:tr>
      <w:tr>
        <w:tc>
          <w:tcPr/>
          <w:p>
            <w:pPr>
              <w:pStyle w:val="Compact"/>
              <w:jc w:val="left"/>
            </w:pPr>
            <w:r>
              <w:t xml:space="preserve">Content Creation (Bogotá-Centric)</w:t>
            </w:r>
          </w:p>
        </w:tc>
        <w:tc>
          <w:tcPr/>
          <w:p>
            <w:pPr>
              <w:pStyle w:val="Compact"/>
              <w:jc w:val="left"/>
            </w:pPr>
            <w:r>
              <w:t xml:space="preserve">$96,000 (20%)</w:t>
            </w:r>
          </w:p>
        </w:tc>
        <w:tc>
          <w:tcPr/>
          <w:p>
            <w:pPr>
              <w:pStyle w:val="Compact"/>
              <w:jc w:val="left"/>
            </w:pPr>
            <w:r>
              <w:t xml:space="preserve">Videos showing Bogotá project sites with local crew footage</w:t>
            </w:r>
          </w:p>
        </w:tc>
      </w:tr>
      <w:tr>
        <w:tc>
          <w:tcPr/>
          <w:p>
            <w:pPr>
              <w:pStyle w:val="Compact"/>
              <w:jc w:val="left"/>
            </w:pPr>
            <w:r>
              <w:t xml:space="preserve">Analytics &amp; Optimization</w:t>
            </w:r>
          </w:p>
        </w:tc>
        <w:tc>
          <w:tcPr/>
          <w:p>
            <w:pPr>
              <w:pStyle w:val="Compact"/>
              <w:jc w:val="left"/>
            </w:pPr>
            <w:r>
              <w:t xml:space="preserve">$54,000 (11%)</w:t>
            </w:r>
          </w:p>
        </w:tc>
        <w:tc>
          <w:tcPr/>
          <w:p>
            <w:pPr>
              <w:pStyle w:val="Compact"/>
              <w:jc w:val="left"/>
            </w:pPr>
            <w:r>
              <w:t xml:space="preserve">Tracking regional performance metrics (e.g., "Bogotá lead conversion rate")</w:t>
            </w:r>
          </w:p>
        </w:tc>
      </w:tr>
    </w:tbl>
    <w:bookmarkEnd w:id="29"/>
    <w:bookmarkStart w:id="30" w:name="X8cbc11569a9de6bb523baae9596b8a5320f18f8"/>
    <w:p>
      <w:pPr>
        <w:pStyle w:val="Heading2"/>
      </w:pPr>
      <w:r>
        <w:t xml:space="preserve">Evaluation Framework: Measuring Success in Colombia Bogotá Context</w:t>
      </w:r>
    </w:p>
    <w:p>
      <w:pPr>
        <w:pStyle w:val="FirstParagraph"/>
      </w:pPr>
      <w:r>
        <w:t xml:space="preserve">We track KPIs specific to civil engineering marketing in Bogotá:</w:t>
      </w:r>
    </w:p>
    <w:p>
      <w:pPr>
        <w:numPr>
          <w:ilvl w:val="0"/>
          <w:numId w:val="1008"/>
        </w:numPr>
        <w:pStyle w:val="Compact"/>
      </w:pPr>
      <w:r>
        <w:rPr>
          <w:bCs/>
          <w:b/>
        </w:rPr>
        <w:t xml:space="preserve">Local Brand Perception:</w:t>
      </w:r>
      <w:r>
        <w:t xml:space="preserve"> </w:t>
      </w:r>
      <w:r>
        <w:t xml:space="preserve">Quarterly NPS surveys targeting Colombian clients (Goal: +25 points from baseline)</w:t>
      </w:r>
    </w:p>
    <w:p>
      <w:pPr>
        <w:numPr>
          <w:ilvl w:val="0"/>
          <w:numId w:val="1008"/>
        </w:numPr>
        <w:pStyle w:val="Compact"/>
      </w:pPr>
      <w:r>
        <w:rPr>
          <w:bCs/>
          <w:b/>
        </w:rPr>
        <w:t xml:space="preserve">Municipal Contract Win Rate:</w:t>
      </w:r>
      <w:r>
        <w:t xml:space="preserve"> </w:t>
      </w:r>
      <w:r>
        <w:t xml:space="preserve">Target 40% conversion rate on RFPs in Bogotá (vs. industry avg. 28%)</w:t>
      </w:r>
    </w:p>
    <w:p>
      <w:pPr>
        <w:numPr>
          <w:ilvl w:val="0"/>
          <w:numId w:val="1008"/>
        </w:numPr>
        <w:pStyle w:val="Compact"/>
      </w:pPr>
      <w:r>
        <w:rPr>
          <w:bCs/>
          <w:b/>
        </w:rPr>
        <w:t xml:space="preserve">Community Engagement Score:</w:t>
      </w:r>
      <w:r>
        <w:t xml:space="preserve"> </w:t>
      </w:r>
      <w:r>
        <w:t xml:space="preserve">Measured through workshop attendance and social media sentiment in Colombian neighborhoods</w:t>
      </w:r>
    </w:p>
    <w:p>
      <w:pPr>
        <w:pStyle w:val="FirstParagraph"/>
      </w:pPr>
      <w:r>
        <w:t xml:space="preserve">All metrics will be reviewed monthly by a Bogotá-based marketing team, with quarterly adjustments to tactics based on local market shifts (e.g., new regulations from the Ministry of Housing).</w:t>
      </w:r>
    </w:p>
    <w:bookmarkEnd w:id="30"/>
    <w:bookmarkStart w:id="31" w:name="X4cb69495606e56c5ffdaf748cc4fd8c2a2a365c"/>
    <w:p>
      <w:pPr>
        <w:pStyle w:val="Heading2"/>
      </w:pPr>
      <w:r>
        <w:t xml:space="preserve">Conclusion: Engineering Success in Colombia Bogotá</w:t>
      </w:r>
    </w:p>
    <w:p>
      <w:pPr>
        <w:pStyle w:val="FirstParagraph"/>
      </w:pPr>
      <w:r>
        <w:t xml:space="preserve">This Marketing Plan positions our civil engineering firm not merely as a service provider but as an indispensable partner in Bogotá's urban evolution. By embedding local knowledge—understanding the city's unique seismic profile, cultural dynamics, and regulatory nuances—we transform generic marketing into targeted value delivery. Every tactic from our case studies to community workshops reinforces that we don't just operate in Colombia Bogotá; we are engineered for its specific challenges. This approach ensures sustainable growth while contributing to the city's infrastructure resilience—a critical priority for Colombia's capital and a model for civil engineering marketing across Latin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Colombia Bogotá</dc:title>
  <dc:creator/>
  <dc:language>en</dc:language>
  <cp:keywords/>
  <dcterms:created xsi:type="dcterms:W3CDTF">2026-07-23T16:23:07Z</dcterms:created>
  <dcterms:modified xsi:type="dcterms:W3CDTF">2026-07-23T16:23:07Z</dcterms:modified>
</cp:coreProperties>
</file>

<file path=docProps/custom.xml><?xml version="1.0" encoding="utf-8"?>
<Properties xmlns="http://schemas.openxmlformats.org/officeDocument/2006/custom-properties" xmlns:vt="http://schemas.openxmlformats.org/officeDocument/2006/docPropsVTypes"/>
</file>