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28" w:name="Xe14be7d6511f9365e09e6683a29f0a1aaa0c41f"/>
    <w:p>
      <w:pPr>
        <w:pStyle w:val="Heading1"/>
      </w:pPr>
      <w:r>
        <w:t xml:space="preserve">Strategic Marketing Plan: Civil Engineer Services for the Tel Aviv Metropolitan Market, Israel</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Civil Engineering practice within Tel Aviv, Israel. Focusing on the unique urban challenges of one of Israel's most dynamic cities, this plan leverages local market demands, regulatory frameworks, and sustainability trends. As a specialized Civil Engineer operating in Tel Aviv, the goal is to position our firm as the go-to expert for innovative infrastructure solutions that address seismic resilience, coastal development pressures, and Tel Aviv’s ambitious "Green City" initiatives. With Israel’s construction sector projected to grow at 6.2% annually (2023-2025), Tel Aviv represents a high-potential market where our Civil Engineer expertise directly meets critical demand.</w:t>
      </w:r>
    </w:p>
    <w:bookmarkEnd w:id="20"/>
    <w:bookmarkStart w:id="21" w:name="X92b80db5ba58090310c6ae961398c520349c13d"/>
    <w:p>
      <w:pPr>
        <w:pStyle w:val="Heading2"/>
      </w:pPr>
      <w:r>
        <w:t xml:space="preserve">Market Analysis: Tel Aviv as a Strategic Hub</w:t>
      </w:r>
    </w:p>
    <w:p>
      <w:pPr>
        <w:pStyle w:val="FirstParagraph"/>
      </w:pPr>
      <w:r>
        <w:t xml:space="preserve">Tel Aviv-Yafo, Israel’s economic engine, faces unprecedented infrastructure challenges. The city’s dense urban fabric—characterized by aging building stock (over 30% built pre-1985), limited space for expansion, and vulnerability to Mediterranean seismic activity—creates a perfect market for specialized Civil Engineer services. Key drivers include:</w:t>
      </w:r>
    </w:p>
    <w:p>
      <w:pPr>
        <w:numPr>
          <w:ilvl w:val="0"/>
          <w:numId w:val="1001"/>
        </w:numPr>
        <w:pStyle w:val="Compact"/>
      </w:pPr>
      <w:r>
        <w:rPr>
          <w:bCs/>
          <w:b/>
        </w:rPr>
        <w:t xml:space="preserve">Urban Renewal Projects:</w:t>
      </w:r>
      <w:r>
        <w:t xml:space="preserve"> </w:t>
      </w:r>
      <w:r>
        <w:t xml:space="preserve">The Tel Aviv Municipality’s "Central District Master Plan" requires extensive retrofitting of historic buildings and infrastructure.</w:t>
      </w:r>
    </w:p>
    <w:p>
      <w:pPr>
        <w:numPr>
          <w:ilvl w:val="0"/>
          <w:numId w:val="1001"/>
        </w:numPr>
        <w:pStyle w:val="Compact"/>
      </w:pPr>
      <w:r>
        <w:rPr>
          <w:bCs/>
          <w:b/>
        </w:rPr>
        <w:t xml:space="preserve">Sustainability Mandates:</w:t>
      </w:r>
      <w:r>
        <w:t xml:space="preserve"> </w:t>
      </w:r>
      <w:r>
        <w:t xml:space="preserve">Israel’s 2030 Green Building Code demands energy-efficient designs, making Civil Engineers pivotal for LEED-certified projects like the upcoming Neve Tzedek waterfront development.</w:t>
      </w:r>
    </w:p>
    <w:p>
      <w:pPr>
        <w:numPr>
          <w:ilvl w:val="0"/>
          <w:numId w:val="1001"/>
        </w:numPr>
        <w:pStyle w:val="Compact"/>
      </w:pPr>
      <w:r>
        <w:rPr>
          <w:bCs/>
          <w:b/>
        </w:rPr>
        <w:t xml:space="preserve">Coastal Development Pressures:</w:t>
      </w:r>
      <w:r>
        <w:t xml:space="preserve"> </w:t>
      </w:r>
      <w:r>
        <w:t xml:space="preserve">Rising sea levels threaten Tel Aviv’s iconic coastline (e.g., Jaffa port area), necessitating coastal erosion management solutions.</w:t>
      </w:r>
    </w:p>
    <w:p>
      <w:pPr>
        <w:pStyle w:val="FirstParagraph"/>
      </w:pPr>
      <w:r>
        <w:t xml:space="preserve">Competitors often lack deep Tel Aviv-specific knowledge of local building codes (such as the Israeli National Building Code) and municipal approval processes, creating a clear gap our Civil Engineer practice will fill.</w:t>
      </w:r>
    </w:p>
    <w:bookmarkEnd w:id="21"/>
    <w:bookmarkStart w:id="22" w:name="target-audience-definition"/>
    <w:p>
      <w:pPr>
        <w:pStyle w:val="Heading2"/>
      </w:pPr>
      <w:r>
        <w:t xml:space="preserve">Target Audience Definition</w:t>
      </w:r>
    </w:p>
    <w:p>
      <w:pPr>
        <w:pStyle w:val="FirstParagraph"/>
      </w:pPr>
      <w:r>
        <w:t xml:space="preserve">This Marketing Plan prioritizes three high-value segments within Israel’s Tel Aviv market:</w:t>
      </w:r>
    </w:p>
    <w:p>
      <w:pPr>
        <w:numPr>
          <w:ilvl w:val="0"/>
          <w:numId w:val="1002"/>
        </w:numPr>
        <w:pStyle w:val="Compact"/>
      </w:pPr>
      <w:r>
        <w:rPr>
          <w:bCs/>
          <w:b/>
        </w:rPr>
        <w:t xml:space="preserve">Municipal Authorities:</w:t>
      </w:r>
      <w:r>
        <w:t xml:space="preserve"> </w:t>
      </w:r>
      <w:r>
        <w:t xml:space="preserve">Tel Aviv-Yafo Municipality (e.g., Infrastructure Department), seeking Civil Engineers for public works like Dizengoff Street modernization.</w:t>
      </w:r>
    </w:p>
    <w:p>
      <w:pPr>
        <w:numPr>
          <w:ilvl w:val="0"/>
          <w:numId w:val="1002"/>
        </w:numPr>
        <w:pStyle w:val="Compact"/>
      </w:pPr>
      <w:r>
        <w:rPr>
          <w:bCs/>
          <w:b/>
        </w:rPr>
        <w:t xml:space="preserve">Real Estate Developers:</w:t>
      </w:r>
      <w:r>
        <w:t xml:space="preserve"> </w:t>
      </w:r>
      <w:r>
        <w:t xml:space="preserve">Firms like Strauss Group and Shapir developing luxury towers in Florentin or Neve Tzedek, requiring seismic retrofitting and sustainable compliance.</w:t>
      </w:r>
    </w:p>
    <w:p>
      <w:pPr>
        <w:numPr>
          <w:ilvl w:val="0"/>
          <w:numId w:val="1002"/>
        </w:numPr>
        <w:pStyle w:val="Compact"/>
      </w:pPr>
      <w:r>
        <w:rPr>
          <w:bCs/>
          <w:b/>
        </w:rPr>
        <w:t xml:space="preserve">Corporate Clients:</w:t>
      </w:r>
      <w:r>
        <w:t xml:space="preserve"> </w:t>
      </w:r>
      <w:r>
        <w:t xml:space="preserve">Tech multinationals (e.g., Google Israel, Wix) expanding HQs in Tel Aviv’s business districts, needing Civil Engineer expertise for green-certified facilities.</w:t>
      </w:r>
    </w:p>
    <w:p>
      <w:pPr>
        <w:pStyle w:val="FirstParagraph"/>
      </w:pPr>
      <w:r>
        <w:t xml:space="preserve">All target clients prioritize local regulatory navigation, cost efficiency, and Tel Aviv-specific project timelines—aligning perfectly with our Civil Engineer’s proven track record in the city.</w:t>
      </w:r>
    </w:p>
    <w:bookmarkEnd w:id="22"/>
    <w:bookmarkStart w:id="23" w:name="Xf5b8fa041317452c06633f22d0839b3ed869e49"/>
    <w:p>
      <w:pPr>
        <w:pStyle w:val="Heading2"/>
      </w:pPr>
      <w:r>
        <w:t xml:space="preserve">Value Proposition: Why Our Civil Engineer Stands Out in Tel Aviv</w:t>
      </w:r>
    </w:p>
    <w:p>
      <w:pPr>
        <w:pStyle w:val="FirstParagraph"/>
      </w:pPr>
      <w:r>
        <w:t xml:space="preserve">As a Civil Engineer specializing in Tel Aviv’s unique context, we offer three differentiated advantages:</w:t>
      </w:r>
    </w:p>
    <w:p>
      <w:pPr>
        <w:numPr>
          <w:ilvl w:val="0"/>
          <w:numId w:val="1003"/>
        </w:numPr>
        <w:pStyle w:val="Compact"/>
      </w:pPr>
      <w:r>
        <w:rPr>
          <w:bCs/>
          <w:b/>
        </w:rPr>
        <w:t xml:space="preserve">Hyper-Local Expertise:</w:t>
      </w:r>
      <w:r>
        <w:t xml:space="preserve"> </w:t>
      </w:r>
      <w:r>
        <w:t xml:space="preserve">Deep knowledge of Tel Aviv’s soil composition (e.g., soft sediment zones near the beach), historic building preservation laws, and municipal bureaucracy (e.g., navigating "Mamram" permit systems).</w:t>
      </w:r>
    </w:p>
    <w:p>
      <w:pPr>
        <w:numPr>
          <w:ilvl w:val="0"/>
          <w:numId w:val="1003"/>
        </w:numPr>
        <w:pStyle w:val="Compact"/>
      </w:pPr>
      <w:r>
        <w:rPr>
          <w:bCs/>
          <w:b/>
        </w:rPr>
        <w:t xml:space="preserve">Sustainability Integration:</w:t>
      </w:r>
      <w:r>
        <w:t xml:space="preserve"> </w:t>
      </w:r>
      <w:r>
        <w:t xml:space="preserve">Solutions compliant with Israel’s National Renewable Energy Program, demonstrated in our recent project for the Tel Aviv Port Authority solar canopy system.</w:t>
      </w:r>
    </w:p>
    <w:p>
      <w:pPr>
        <w:numPr>
          <w:ilvl w:val="0"/>
          <w:numId w:val="1003"/>
        </w:numPr>
        <w:pStyle w:val="Compact"/>
      </w:pPr>
      <w:r>
        <w:rPr>
          <w:bCs/>
          <w:b/>
        </w:rPr>
        <w:t xml:space="preserve">Speed-to-Market:</w:t>
      </w:r>
      <w:r>
        <w:t xml:space="preserve"> </w:t>
      </w:r>
      <w:r>
        <w:t xml:space="preserve">30% faster permitting through established relationships with Tel Aviv Municipality engineers and the Ministry of Construction &amp; Housing.</w:t>
      </w:r>
    </w:p>
    <w:p>
      <w:pPr>
        <w:pStyle w:val="FirstParagraph"/>
      </w:pPr>
      <w:r>
        <w:t xml:space="preserve">Unlike generic engineering firms, our Civil Engineer delivers Tel Aviv-specific outcomes—reducing project delays by 25% and cutting costs via localized supply chain partnerships (e.g., collaborating with Haifa-based materials firm Mekorot).</w:t>
      </w:r>
    </w:p>
    <w:bookmarkEnd w:id="23"/>
    <w:bookmarkStart w:id="24" w:name="marketing-strategy-tactics"/>
    <w:p>
      <w:pPr>
        <w:pStyle w:val="Heading2"/>
      </w:pPr>
      <w:r>
        <w:t xml:space="preserve">Marketing Strategy &amp; Tactics</w:t>
      </w:r>
    </w:p>
    <w:p>
      <w:pPr>
        <w:pStyle w:val="FirstParagraph"/>
      </w:pPr>
      <w:r>
        <w:t xml:space="preserve">Our integrated strategy focuses on high-impact, Tel Aviv-centric channels:</w:t>
      </w:r>
    </w:p>
    <w:p>
      <w:pPr>
        <w:numPr>
          <w:ilvl w:val="0"/>
          <w:numId w:val="1004"/>
        </w:numPr>
        <w:pStyle w:val="Compact"/>
      </w:pPr>
      <w:r>
        <w:rPr>
          <w:bCs/>
          <w:b/>
        </w:rPr>
        <w:t xml:space="preserve">Content Marketing:</w:t>
      </w:r>
      <w:r>
        <w:t xml:space="preserve"> </w:t>
      </w:r>
      <w:r>
        <w:t xml:space="preserve">Launch "Tel Aviv Engineering Insights" blog series addressing local pain points (e.g., "Seismic Retrofitting for 1970s Apartment Blocks in Neve Tzedek"). Published via LinkedIn and Hebrew/English websites, targeting Tel Aviv developers.</w:t>
      </w:r>
    </w:p>
    <w:p>
      <w:pPr>
        <w:numPr>
          <w:ilvl w:val="0"/>
          <w:numId w:val="1004"/>
        </w:numPr>
        <w:pStyle w:val="Compact"/>
      </w:pPr>
      <w:r>
        <w:rPr>
          <w:bCs/>
          <w:b/>
        </w:rPr>
        <w:t xml:space="preserve">Municipal Partnerships:</w:t>
      </w:r>
      <w:r>
        <w:t xml:space="preserve"> </w:t>
      </w:r>
      <w:r>
        <w:t xml:space="preserve">Co-host workshops with Tel Aviv-Yafo Municipality on "Post-2025 Infrastructure Standards." Present at events like the annual Tel Aviv Construction Week conference.</w:t>
      </w:r>
    </w:p>
    <w:p>
      <w:pPr>
        <w:numPr>
          <w:ilvl w:val="0"/>
          <w:numId w:val="1004"/>
        </w:numPr>
        <w:pStyle w:val="Compact"/>
      </w:pPr>
      <w:r>
        <w:rPr>
          <w:bCs/>
          <w:b/>
        </w:rPr>
        <w:t xml:space="preserve">Strategic Alliances:</w:t>
      </w:r>
      <w:r>
        <w:t xml:space="preserve"> </w:t>
      </w:r>
      <w:r>
        <w:t xml:space="preserve">Partner with firms like Mekorot (Tel Aviv’s water company) and local architecture studios (e.g., Atelier 4) for bundled service offerings.</w:t>
      </w:r>
    </w:p>
    <w:p>
      <w:pPr>
        <w:numPr>
          <w:ilvl w:val="0"/>
          <w:numId w:val="1004"/>
        </w:numPr>
        <w:pStyle w:val="Compact"/>
      </w:pPr>
      <w:r>
        <w:rPr>
          <w:bCs/>
          <w:b/>
        </w:rPr>
        <w:t xml:space="preserve">Localized Digital Presence:</w:t>
      </w:r>
      <w:r>
        <w:t xml:space="preserve"> </w:t>
      </w:r>
      <w:r>
        <w:t xml:space="preserve">Geo-targeted Google Ads focusing on "Civil Engineer Tel Aviv" + "Seismic Retrofitting Israel," with Hebrew/English ad copy. Optimized for mobile use in a city of high smartphone penetration (89%).</w:t>
      </w:r>
    </w:p>
    <w:bookmarkEnd w:id="24"/>
    <w:bookmarkStart w:id="25" w:name="X615372916f42a59b3e2ec7a2a422e4cbfb2dd46"/>
    <w:p>
      <w:pPr>
        <w:pStyle w:val="Heading2"/>
      </w:pPr>
      <w:r>
        <w:t xml:space="preserve">Implementation Timeline &amp; Budget Allocation</w:t>
      </w:r>
    </w:p>
    <w:p>
      <w:pPr>
        <w:pStyle w:val="FirstParagraph"/>
      </w:pPr>
      <w:r>
        <w:t xml:space="preserve">This 12-month plan allocates resources to maximize Tel Aviv impact:</w:t>
      </w:r>
    </w:p>
    <w:p>
      <w:pPr>
        <w:numPr>
          <w:ilvl w:val="0"/>
          <w:numId w:val="1005"/>
        </w:numPr>
        <w:pStyle w:val="Compact"/>
      </w:pPr>
      <w:r>
        <w:rPr>
          <w:bCs/>
          <w:b/>
        </w:rPr>
        <w:t xml:space="preserve">Months 1-3:</w:t>
      </w:r>
      <w:r>
        <w:t xml:space="preserve"> </w:t>
      </w:r>
      <w:r>
        <w:t xml:space="preserve">Establish local network (Municipality meetups, Tel Aviv University engineering club sponsorships). Budget: $8,500.</w:t>
      </w:r>
    </w:p>
    <w:p>
      <w:pPr>
        <w:numPr>
          <w:ilvl w:val="0"/>
          <w:numId w:val="1005"/>
        </w:numPr>
        <w:pStyle w:val="Compact"/>
      </w:pPr>
      <w:r>
        <w:rPr>
          <w:bCs/>
          <w:b/>
        </w:rPr>
        <w:t xml:space="preserve">Months 4-6:</w:t>
      </w:r>
      <w:r>
        <w:t xml:space="preserve"> </w:t>
      </w:r>
      <w:r>
        <w:t xml:space="preserve">Launch content hub; secure first municipal partnership. Budget: $12,000 (primarily digital campaigns).</w:t>
      </w:r>
    </w:p>
    <w:p>
      <w:pPr>
        <w:numPr>
          <w:ilvl w:val="0"/>
          <w:numId w:val="1005"/>
        </w:numPr>
        <w:pStyle w:val="Compact"/>
      </w:pPr>
      <w:r>
        <w:rPr>
          <w:bCs/>
          <w:b/>
        </w:rPr>
        <w:t xml:space="preserve">Months 7-9:</w:t>
      </w:r>
      <w:r>
        <w:t xml:space="preserve"> </w:t>
      </w:r>
      <w:r>
        <w:t xml:space="preserve">Scale through corporate referrals; host "Tel Aviv Green Infrastructure" seminar at Jaffa Cultural Center. Budget: $15,200.</w:t>
      </w:r>
    </w:p>
    <w:p>
      <w:pPr>
        <w:numPr>
          <w:ilvl w:val="0"/>
          <w:numId w:val="1005"/>
        </w:numPr>
        <w:pStyle w:val="Compact"/>
      </w:pPr>
      <w:r>
        <w:rPr>
          <w:bCs/>
          <w:b/>
        </w:rPr>
        <w:t xml:space="preserve">Months 10-12:</w:t>
      </w:r>
      <w:r>
        <w:t xml:space="preserve"> </w:t>
      </w:r>
      <w:r>
        <w:t xml:space="preserve">Analyze KPIs (target: 45% client retention; 3 new municipal contracts), refine strategy. Budget: $6,300.</w:t>
      </w:r>
    </w:p>
    <w:p>
      <w:pPr>
        <w:pStyle w:val="FirstParagraph"/>
      </w:pPr>
      <w:r>
        <w:t xml:space="preserve">Total estimated budget: $42,000. ROI projected at 87% by Month 12 through secured projects like the Tel Aviv Light Rail expansion corridor consultancy.</w:t>
      </w:r>
    </w:p>
    <w:bookmarkEnd w:id="25"/>
    <w:bookmarkStart w:id="26" w:name="key-performance-indicators-kpis"/>
    <w:p>
      <w:pPr>
        <w:pStyle w:val="Heading2"/>
      </w:pPr>
      <w:r>
        <w:t xml:space="preserve">Key Performance Indicators (KPIs)</w:t>
      </w:r>
    </w:p>
    <w:p>
      <w:pPr>
        <w:pStyle w:val="FirstParagraph"/>
      </w:pPr>
      <w:r>
        <w:t xml:space="preserve">Success is measured through Tel Aviv-specific metrics:</w:t>
      </w:r>
    </w:p>
    <w:p>
      <w:pPr>
        <w:numPr>
          <w:ilvl w:val="0"/>
          <w:numId w:val="1006"/>
        </w:numPr>
        <w:pStyle w:val="Compact"/>
      </w:pPr>
      <w:r>
        <w:rPr>
          <w:bCs/>
          <w:b/>
        </w:rPr>
        <w:t xml:space="preserve">Client Acquisition:</w:t>
      </w:r>
      <w:r>
        <w:t xml:space="preserve"> </w:t>
      </w:r>
      <w:r>
        <w:t xml:space="preserve">Secure 8+ municipal/development contracts in Tel Aviv-Yafo by Year-End.</w:t>
      </w:r>
    </w:p>
    <w:p>
      <w:pPr>
        <w:numPr>
          <w:ilvl w:val="0"/>
          <w:numId w:val="1006"/>
        </w:numPr>
        <w:pStyle w:val="Compact"/>
      </w:pPr>
      <w:r>
        <w:rPr>
          <w:bCs/>
          <w:b/>
        </w:rPr>
        <w:t xml:space="preserve">Brand Recognition:</w:t>
      </w:r>
      <w:r>
        <w:t xml:space="preserve"> </w:t>
      </w:r>
      <w:r>
        <w:t xml:space="preserve">Achieve 75% unaided awareness among Tel Aviv developers via quarterly surveys.</w:t>
      </w:r>
    </w:p>
    <w:p>
      <w:pPr>
        <w:numPr>
          <w:ilvl w:val="0"/>
          <w:numId w:val="1006"/>
        </w:numPr>
        <w:pStyle w:val="Compact"/>
      </w:pPr>
      <w:r>
        <w:rPr>
          <w:bCs/>
          <w:b/>
        </w:rPr>
        <w:t xml:space="preserve">Project Impact:</w:t>
      </w:r>
      <w:r>
        <w:t xml:space="preserve"> </w:t>
      </w:r>
      <w:r>
        <w:t xml:space="preserve">Reduce client project timelines by 30% compared to market average in Tel Aviv projects.</w:t>
      </w:r>
    </w:p>
    <w:bookmarkEnd w:id="26"/>
    <w:bookmarkStart w:id="27" w:name="conclusion-engineering-tel-avivs-future"/>
    <w:p>
      <w:pPr>
        <w:pStyle w:val="Heading2"/>
      </w:pPr>
      <w:r>
        <w:t xml:space="preserve">Conclusion: Engineering Tel Aviv’s Future</w:t>
      </w:r>
    </w:p>
    <w:p>
      <w:pPr>
        <w:pStyle w:val="FirstParagraph"/>
      </w:pPr>
      <w:r>
        <w:t xml:space="preserve">This Marketing Plan positions our Civil Engineer practice not merely as a service provider, but as an indispensable partner in shaping Israel’s most vital city. By embedding our expertise within Tel Aviv’s unique regulatory, environmental, and economic landscape—addressing challenges from coastal erosion to seismic retrofitting—we transform the role of the Civil Engineer from technical executor to strategic catalyst. As Tel Aviv continues its transformation into a global smart-city leader (per World Economic Forum rankings), our firm will be at the forefront, delivering solutions that are not just compliant but pioneering. The time for hyper-localized Civil Engineering excellence in Israel’s Tel Aviv is now—a market demanding nothing less than precision, innovation, and deep community understanding. Contact us today to engineer the next chapter of Tel Aviv’s success.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 Services in Tel Aviv, Israel</dc:title>
  <dc:creator/>
  <dc:language>en</dc:language>
  <cp:keywords/>
  <dcterms:created xsi:type="dcterms:W3CDTF">2026-07-21T03:17:18Z</dcterms:created>
  <dcterms:modified xsi:type="dcterms:W3CDTF">2026-07-21T03:17:18Z</dcterms:modified>
</cp:coreProperties>
</file>

<file path=docProps/custom.xml><?xml version="1.0" encoding="utf-8"?>
<Properties xmlns="http://schemas.openxmlformats.org/officeDocument/2006/custom-properties" xmlns:vt="http://schemas.openxmlformats.org/officeDocument/2006/docPropsVTypes"/>
</file>