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29" w:name="X378d9e0552344ff2c775446273569974c9a05c5"/>
    <w:p>
      <w:pPr>
        <w:pStyle w:val="Heading1"/>
      </w:pPr>
      <w:r>
        <w:t xml:space="preserve">Comprehensive Marketing Plan for Civil Engineering Services in Kuwait City</w:t>
      </w:r>
    </w:p>
    <w:bookmarkStart w:id="20" w:name="executive-summary"/>
    <w:p>
      <w:pPr>
        <w:pStyle w:val="Heading2"/>
      </w:pPr>
      <w:r>
        <w:t xml:space="preserve">1. Executive Summary</w:t>
      </w:r>
    </w:p>
    <w:p>
      <w:pPr>
        <w:pStyle w:val="FirstParagraph"/>
      </w:pPr>
      <w:r>
        <w:t xml:space="preserve">This Marketing Plan outlines strategic initiatives to establish and grow a premier civil engineering consultancy firm targeting the dynamic construction sector of Kuwait City. As urban development accelerates across Kuwait, the demand for innovative Civil Engineer solutions has reached unprecedented levels. This plan positions our firm as the trusted partner for infrastructure projects in Kuwait City, leveraging local expertise and international standards to deliver transformative results. With over 70% of Kuwait's GDP tied to construction and real estate (Kuwait National Bank, 2023), this is the optimal moment to capture market share through a tailored approach emphasizing cultural understanding and technical excellence.</w:t>
      </w:r>
    </w:p>
    <w:bookmarkEnd w:id="20"/>
    <w:bookmarkStart w:id="21" w:name="X1db88ad6b165ea9fecd2b7daa04c08ec18edb7e"/>
    <w:p>
      <w:pPr>
        <w:pStyle w:val="Heading2"/>
      </w:pPr>
      <w:r>
        <w:t xml:space="preserve">2. Market Analysis: Kuwait City Construction Landscape</w:t>
      </w:r>
    </w:p>
    <w:p>
      <w:pPr>
        <w:pStyle w:val="FirstParagraph"/>
      </w:pPr>
      <w:r>
        <w:t xml:space="preserve">Kuwait City's construction sector is experiencing explosive growth, driven by the National Development Plan 2035 and Vision 2035 initiatives. The city's skyline transformation includes mega-projects like Al Kharaitiyat Urban Development, Kuwait International Airport expansion, and the Central Business District. However, challenges persist: project delays due to regulatory complexities (47% of projects face timeline issues according to Kuwait Ministry of Public Works), rising material costs (32% YoY), and a critical shortage of specialized Civil Engineer talent within local firms.</w:t>
      </w:r>
    </w:p>
    <w:p>
      <w:pPr>
        <w:pStyle w:val="BodyText"/>
      </w:pPr>
      <w:r>
        <w:t xml:space="preserve">Competitive analysis reveals three key players dominate the market, but none offer integrated digital solutions. Local competitors lack BIM (Building Information Modeling) proficiency for large-scale projects, while international firms struggle with Kuwait City's unique regulatory environment. This gap presents our firm's prime opportunity to differentiate through hyper-localized Civil Engineer services that navigate Kuwaiti building codes (Kuwait Building Code 2021) and cultural business practices.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Ministry of Public Works, Kuwait National Company for Housing (KNCH), and major real estate developers (e.g., Al Shuwaikh Real Estate) seeking turnkey infrastructure solutions for residential/commercial projects exceeding $50M value.</w:t>
      </w:r>
    </w:p>
    <w:p>
      <w:pPr>
        <w:numPr>
          <w:ilvl w:val="0"/>
          <w:numId w:val="1001"/>
        </w:numPr>
        <w:pStyle w:val="Compact"/>
      </w:pPr>
      <w:r>
        <w:rPr>
          <w:bCs/>
          <w:b/>
        </w:rPr>
        <w:t xml:space="preserve">Secondary:</w:t>
      </w:r>
      <w:r>
        <w:t xml:space="preserve"> </w:t>
      </w:r>
      <w:r>
        <w:t xml:space="preserve">International contractors operating in Kuwait City requiring local Civil Engineer partners to comply with municipal regulations.</w:t>
      </w:r>
    </w:p>
    <w:p>
      <w:pPr>
        <w:numPr>
          <w:ilvl w:val="0"/>
          <w:numId w:val="1001"/>
        </w:numPr>
        <w:pStyle w:val="Compact"/>
      </w:pPr>
      <w:r>
        <w:rPr>
          <w:bCs/>
          <w:b/>
        </w:rPr>
        <w:t xml:space="preserve">Tertiary:</w:t>
      </w:r>
      <w:r>
        <w:t xml:space="preserve"> </w:t>
      </w:r>
      <w:r>
        <w:t xml:space="preserve">Municipal authorities (e.g., Kuwait Municipality) seeking sustainable drainage systems for flood mitigation in coastal zones – a critical need following 2023 monsoon events.</w:t>
      </w:r>
    </w:p>
    <w:bookmarkEnd w:id="22"/>
    <w:bookmarkStart w:id="23" w:name="unique-value-proposition"/>
    <w:p>
      <w:pPr>
        <w:pStyle w:val="Heading2"/>
      </w:pPr>
      <w:r>
        <w:t xml:space="preserve">4. Unique Value Proposition</w:t>
      </w:r>
    </w:p>
    <w:p>
      <w:pPr>
        <w:pStyle w:val="FirstParagraph"/>
      </w:pPr>
      <w:r>
        <w:t xml:space="preserve">We deliver "Kuwait-Centric Civil Engineering Excellence" through three pillars:</w:t>
      </w:r>
    </w:p>
    <w:p>
      <w:pPr>
        <w:numPr>
          <w:ilvl w:val="0"/>
          <w:numId w:val="1002"/>
        </w:numPr>
        <w:pStyle w:val="Compact"/>
      </w:pPr>
      <w:r>
        <w:rPr>
          <w:bCs/>
          <w:b/>
        </w:rPr>
        <w:t xml:space="preserve">Regulatory Navigation:</w:t>
      </w:r>
      <w:r>
        <w:t xml:space="preserve"> </w:t>
      </w:r>
      <w:r>
        <w:t xml:space="preserve">Our team holds direct certification from Kuwait Ministry of Public Works, ensuring 100% compliance with local permitting processes that typically cause 6-8 month delays for competitors.</w:t>
      </w:r>
    </w:p>
    <w:p>
      <w:pPr>
        <w:numPr>
          <w:ilvl w:val="0"/>
          <w:numId w:val="1002"/>
        </w:numPr>
        <w:pStyle w:val="Compact"/>
      </w:pPr>
      <w:r>
        <w:rPr>
          <w:bCs/>
          <w:b/>
        </w:rPr>
        <w:t xml:space="preserve">Digital Engineering Integration:</w:t>
      </w:r>
      <w:r>
        <w:t xml:space="preserve"> </w:t>
      </w:r>
      <w:r>
        <w:t xml:space="preserve">Proprietary BIM suite customized for Kuwait City's climate (sandstorms, high humidity) and material availability, reducing project costs by 15-22% per client case study.</w:t>
      </w:r>
    </w:p>
    <w:p>
      <w:pPr>
        <w:numPr>
          <w:ilvl w:val="0"/>
          <w:numId w:val="1002"/>
        </w:numPr>
        <w:pStyle w:val="Compact"/>
      </w:pPr>
      <w:r>
        <w:rPr>
          <w:bCs/>
          <w:b/>
        </w:rPr>
        <w:t xml:space="preserve">Cultural Partnership Approach:</w:t>
      </w:r>
      <w:r>
        <w:t xml:space="preserve"> </w:t>
      </w:r>
      <w:r>
        <w:t xml:space="preserve">Project managers are Kuwaiti nationals with 10+ years' local experience who understand the "Wasta" (influence network) dynamics critical for timely approvals in Kuwait City government projects.</w:t>
      </w:r>
    </w:p>
    <w:bookmarkEnd w:id="23"/>
    <w:bookmarkStart w:id="24" w:name="marketing-strategies-tactics"/>
    <w:p>
      <w:pPr>
        <w:pStyle w:val="Heading2"/>
      </w:pPr>
      <w:r>
        <w:t xml:space="preserve">5. Marketing Strategies &amp; Tactics</w:t>
      </w:r>
    </w:p>
    <w:p>
      <w:pPr>
        <w:pStyle w:val="FirstParagraph"/>
      </w:pPr>
      <w:r>
        <w:rPr>
          <w:bCs/>
          <w:b/>
        </w:rPr>
        <w:t xml:space="preserve">Brand Positioning:</w:t>
      </w:r>
      <w:r>
        <w:t xml:space="preserve"> </w:t>
      </w:r>
      <w:r>
        <w:t xml:space="preserve">"Your Local Civil Engineer Partner for Kuwait City's Future" – emphasizing community roots and city-specific expertise over generic international firms.</w:t>
      </w:r>
    </w:p>
    <w:p>
      <w:pPr>
        <w:pStyle w:val="BodyText"/>
      </w:pPr>
      <w:r>
        <w:rPr>
          <w:bCs/>
          <w:b/>
        </w:rPr>
        <w:t xml:space="preserve">Tactical Implementation:</w:t>
      </w:r>
    </w:p>
    <w:p>
      <w:pPr>
        <w:numPr>
          <w:ilvl w:val="0"/>
          <w:numId w:val="1003"/>
        </w:numPr>
        <w:pStyle w:val="Compact"/>
      </w:pPr>
      <w:r>
        <w:rPr>
          <w:iCs/>
          <w:i/>
        </w:rPr>
        <w:t xml:space="preserve">Kuwait City Events Presence:</w:t>
      </w:r>
      <w:r>
        <w:t xml:space="preserve"> </w:t>
      </w:r>
      <w:r>
        <w:t xml:space="preserve">Sponsor 3 flagship events in 2024: Kuwait Construction Week (March), Gulf Infrastructure Summit (October), and Ministry of Public Works Networking Forum. All booths staffed by Kuwaiti Civil Engineer professionals.</w:t>
      </w:r>
    </w:p>
    <w:p>
      <w:pPr>
        <w:numPr>
          <w:ilvl w:val="0"/>
          <w:numId w:val="1003"/>
        </w:numPr>
        <w:pStyle w:val="Compact"/>
      </w:pPr>
      <w:r>
        <w:rPr>
          <w:iCs/>
          <w:i/>
        </w:rPr>
        <w:t xml:space="preserve">Digital Localization:</w:t>
      </w:r>
      <w:r>
        <w:t xml:space="preserve"> </w:t>
      </w:r>
      <w:r>
        <w:t xml:space="preserve">Launch Arabic/English website with "Kuwait City Project Gallery" showcasing completed works (e.g., Al-Salmiya Coastal Road, 5-star hotel complexes). SEO strategy targets keywords like "Civil Engineer in Kuwait City," "Infrastructure Consultant Kuwait."</w:t>
      </w:r>
    </w:p>
    <w:p>
      <w:pPr>
        <w:numPr>
          <w:ilvl w:val="0"/>
          <w:numId w:val="1003"/>
        </w:numPr>
        <w:pStyle w:val="Compact"/>
      </w:pPr>
      <w:r>
        <w:rPr>
          <w:iCs/>
          <w:i/>
        </w:rPr>
        <w:t xml:space="preserve">Government Partnership Program:</w:t>
      </w:r>
      <w:r>
        <w:t xml:space="preserve"> </w:t>
      </w:r>
      <w:r>
        <w:t xml:space="preserve">Co-develop training modules for Ministry of Public Works' new Civil Engineer certification program – positioning us as the knowledge authority.</w:t>
      </w:r>
    </w:p>
    <w:p>
      <w:pPr>
        <w:numPr>
          <w:ilvl w:val="0"/>
          <w:numId w:val="1003"/>
        </w:numPr>
        <w:pStyle w:val="Compact"/>
      </w:pPr>
      <w:r>
        <w:rPr>
          <w:iCs/>
          <w:i/>
        </w:rPr>
        <w:t xml:space="preserve">Referral Ecosystem:</w:t>
      </w:r>
      <w:r>
        <w:t xml:space="preserve"> </w:t>
      </w:r>
      <w:r>
        <w:t xml:space="preserve">Incentivize current clients (e.g., Al Hamad Real Estate) with 10% project fee reduction for referring Kuwait City municipal projects, leveraging established relationships.</w:t>
      </w:r>
    </w:p>
    <w:bookmarkEnd w:id="24"/>
    <w:bookmarkStart w:id="25"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Kuwait City Events &amp; Sponsorships</w:t>
            </w:r>
          </w:p>
        </w:tc>
        <w:tc>
          <w:tcPr/>
          <w:p>
            <w:pPr>
              <w:pStyle w:val="Compact"/>
              <w:jc w:val="left"/>
            </w:pPr>
            <w:r>
              <w:t xml:space="preserve">35%</w:t>
            </w:r>
          </w:p>
        </w:tc>
        <w:tc>
          <w:tcPr/>
          <w:p>
            <w:pPr>
              <w:pStyle w:val="Compact"/>
              <w:jc w:val="left"/>
            </w:pPr>
            <w:r>
              <w:t xml:space="preserve">Critical for government/industry networking in Kuwait's relationship-driven market</w:t>
            </w:r>
          </w:p>
        </w:tc>
      </w:tr>
      <w:tr>
        <w:tc>
          <w:tcPr/>
          <w:p>
            <w:pPr>
              <w:pStyle w:val="Compact"/>
              <w:jc w:val="left"/>
            </w:pPr>
            <w:r>
              <w:t xml:space="preserve">Digital Marketing (SEO, Local Ads)</w:t>
            </w:r>
          </w:p>
        </w:tc>
        <w:tc>
          <w:tcPr/>
          <w:p>
            <w:pPr>
              <w:pStyle w:val="Compact"/>
              <w:jc w:val="left"/>
            </w:pPr>
            <w:r>
              <w:t xml:space="preserve">28%</w:t>
            </w:r>
          </w:p>
        </w:tc>
        <w:tc>
          <w:tcPr/>
          <w:p>
            <w:pPr>
              <w:pStyle w:val="Compact"/>
              <w:jc w:val="left"/>
            </w:pPr>
            <w:r>
              <w:t xml:space="preserve">Targets high-intent keywords among project managers in Kuwait City</w:t>
            </w:r>
          </w:p>
        </w:tc>
      </w:tr>
      <w:tr>
        <w:tc>
          <w:tcPr/>
          <w:p>
            <w:pPr>
              <w:pStyle w:val="Compact"/>
              <w:jc w:val="left"/>
            </w:pPr>
            <w:r>
              <w:t xml:space="preserve">Content &amp; Thought Leadership (Whitepapers, Workshops)</w:t>
            </w:r>
          </w:p>
        </w:tc>
        <w:tc>
          <w:tcPr/>
          <w:p>
            <w:pPr>
              <w:pStyle w:val="Compact"/>
              <w:jc w:val="left"/>
            </w:pPr>
            <w:r>
              <w:t xml:space="preserve">20%</w:t>
            </w:r>
          </w:p>
        </w:tc>
        <w:tc>
          <w:tcPr/>
          <w:p>
            <w:pPr>
              <w:pStyle w:val="Compact"/>
              <w:jc w:val="left"/>
            </w:pPr>
            <w:r>
              <w:t xml:space="preserve">Sustains authority on Kuwait-specific engineering challenges</w:t>
            </w:r>
          </w:p>
        </w:tc>
      </w:tr>
      <w:tr>
        <w:tc>
          <w:tcPr/>
          <w:p>
            <w:pPr>
              <w:pStyle w:val="Compact"/>
              <w:jc w:val="left"/>
            </w:pPr>
            <w:r>
              <w:t xml:space="preserve">Partnership Programs (Ministry Collaboration)</w:t>
            </w:r>
          </w:p>
        </w:tc>
        <w:tc>
          <w:tcPr/>
          <w:p>
            <w:pPr>
              <w:pStyle w:val="Compact"/>
              <w:jc w:val="left"/>
            </w:pPr>
            <w:r>
              <w:t xml:space="preserve">15%</w:t>
            </w:r>
          </w:p>
        </w:tc>
        <w:tc>
          <w:tcPr/>
          <w:p>
            <w:pPr>
              <w:pStyle w:val="Compact"/>
              <w:jc w:val="left"/>
            </w:pPr>
            <w:r>
              <w:t xml:space="preserve">Leverages government influence for long-term contracts</w:t>
            </w:r>
          </w:p>
        </w:tc>
      </w:tr>
    </w:tbl>
    <w:bookmarkEnd w:id="25"/>
    <w:bookmarkStart w:id="26" w:name="implementation-timeline"/>
    <w:p>
      <w:pPr>
        <w:pStyle w:val="Heading2"/>
      </w:pPr>
      <w:r>
        <w:t xml:space="preserve">7. Implementation Timeline</w:t>
      </w:r>
    </w:p>
    <w:p>
      <w:pPr>
        <w:pStyle w:val="FirstParagraph"/>
      </w:pPr>
      <w:r>
        <w:rPr>
          <w:bCs/>
          <w:b/>
        </w:rPr>
        <w:t xml:space="preserve">Q1 2024:</w:t>
      </w:r>
      <w:r>
        <w:t xml:space="preserve"> </w:t>
      </w:r>
      <w:r>
        <w:t xml:space="preserve">Establish Kuwait City office with local Civil Engineer hires; launch localized website; secure Ministry of Public Works partnership.</w:t>
      </w:r>
    </w:p>
    <w:p>
      <w:pPr>
        <w:pStyle w:val="BodyText"/>
      </w:pPr>
      <w:r>
        <w:rPr>
          <w:bCs/>
          <w:b/>
        </w:rPr>
        <w:t xml:space="preserve">Q2 2024:</w:t>
      </w:r>
      <w:r>
        <w:t xml:space="preserve"> </w:t>
      </w:r>
      <w:r>
        <w:t xml:space="preserve">Participate in Kuwait Construction Week; release "Kuwait City Infrastructure Challenges" whitepaper co-authored with Kuwait University Engineering Dept.</w:t>
      </w:r>
    </w:p>
    <w:p>
      <w:pPr>
        <w:pStyle w:val="BodyText"/>
      </w:pPr>
      <w:r>
        <w:rPr>
          <w:bCs/>
          <w:b/>
        </w:rPr>
        <w:t xml:space="preserve">Q3 2024:</w:t>
      </w:r>
      <w:r>
        <w:t xml:space="preserve"> </w:t>
      </w:r>
      <w:r>
        <w:t xml:space="preserve">Execute first sponsored workshop at Al-Kuwait University for Civil Engineer students targeting future talent pipeline.</w:t>
      </w:r>
    </w:p>
    <w:p>
      <w:pPr>
        <w:pStyle w:val="BodyText"/>
      </w:pPr>
      <w:r>
        <w:rPr>
          <w:bCs/>
          <w:b/>
        </w:rPr>
        <w:t xml:space="preserve">Q4 2024:</w:t>
      </w:r>
      <w:r>
        <w:t xml:space="preserve"> </w:t>
      </w:r>
      <w:r>
        <w:t xml:space="preserve">Target three major government tenders through the partnership program; achieve $1.8M in contracted projects.</w:t>
      </w:r>
    </w:p>
    <w:bookmarkEnd w:id="26"/>
    <w:bookmarkStart w:id="27" w:name="key-performance-indicators"/>
    <w:p>
      <w:pPr>
        <w:pStyle w:val="Heading2"/>
      </w:pPr>
      <w:r>
        <w:t xml:space="preserve">8. Key Performance Indicators</w:t>
      </w:r>
    </w:p>
    <w:p>
      <w:pPr>
        <w:numPr>
          <w:ilvl w:val="0"/>
          <w:numId w:val="1004"/>
        </w:numPr>
        <w:pStyle w:val="Compact"/>
      </w:pPr>
      <w:r>
        <w:rPr>
          <w:bCs/>
          <w:b/>
        </w:rPr>
        <w:t xml:space="preserve">Brand Awareness:</w:t>
      </w:r>
      <w:r>
        <w:t xml:space="preserve"> </w:t>
      </w:r>
      <w:r>
        <w:t xml:space="preserve">Achieve 65% recognition among Kuwait City project managers (measured via post-event surveys)</w:t>
      </w:r>
    </w:p>
    <w:p>
      <w:pPr>
        <w:numPr>
          <w:ilvl w:val="0"/>
          <w:numId w:val="1004"/>
        </w:numPr>
        <w:pStyle w:val="Compact"/>
      </w:pPr>
      <w:r>
        <w:rPr>
          <w:bCs/>
          <w:b/>
        </w:rPr>
        <w:t xml:space="preserve">Lead Generation:</w:t>
      </w:r>
      <w:r>
        <w:t xml:space="preserve"> </w:t>
      </w:r>
      <w:r>
        <w:t xml:space="preserve">Secure 45 qualified leads/month from Kuwait City projects (tracked via CRM)</w:t>
      </w:r>
    </w:p>
    <w:p>
      <w:pPr>
        <w:numPr>
          <w:ilvl w:val="0"/>
          <w:numId w:val="1004"/>
        </w:numPr>
        <w:pStyle w:val="Compact"/>
      </w:pPr>
      <w:r>
        <w:rPr>
          <w:bCs/>
          <w:b/>
        </w:rPr>
        <w:t xml:space="preserve">Capture Rate:</w:t>
      </w:r>
      <w:r>
        <w:t xml:space="preserve"> </w:t>
      </w:r>
      <w:r>
        <w:t xml:space="preserve">Convert 30% of leads into clients within 90 days – exceeding industry average of 18%</w:t>
      </w:r>
    </w:p>
    <w:p>
      <w:pPr>
        <w:numPr>
          <w:ilvl w:val="0"/>
          <w:numId w:val="1004"/>
        </w:numPr>
        <w:pStyle w:val="Compact"/>
      </w:pPr>
      <w:r>
        <w:rPr>
          <w:bCs/>
          <w:b/>
        </w:rPr>
        <w:t xml:space="preserve">Sustainability Impact:</w:t>
      </w:r>
      <w:r>
        <w:t xml:space="preserve"> </w:t>
      </w:r>
      <w:r>
        <w:t xml:space="preserve">Reduce project delivery time by 25% for Kuwait City government projects through regulatory expertise</w:t>
      </w:r>
    </w:p>
    <w:bookmarkEnd w:id="27"/>
    <w:bookmarkStart w:id="28" w:name="conclusion-the-kuwait-city-imperative"/>
    <w:p>
      <w:pPr>
        <w:pStyle w:val="Heading2"/>
      </w:pPr>
      <w:r>
        <w:t xml:space="preserve">Conclusion: The Kuwait City Imperative</w:t>
      </w:r>
    </w:p>
    <w:p>
      <w:pPr>
        <w:pStyle w:val="FirstParagraph"/>
      </w:pPr>
      <w:r>
        <w:t xml:space="preserve">Kuwait City's transformation into a global hub demands Civil Engineer partners who speak the language of local development – literally and figuratively. This Marketing Plan strategically positions our firm at the intersection of technical expertise, cultural fluency, and regulatory mastery. By embedding ourselves within Kuwait City's infrastructure ecosystem through targeted community engagement, digital localization, and government collaboration, we won't just deliver civil engineering services – we'll become synonymous with progress in the heart of Kuwait. The time to capture this market is now: with $20B allocated for construction projects in Kuwait City through 2027 (World Bank), our plan ensures sustainable growth while elevating the standard for Civil Engineer excellence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Kuwait City</dc:title>
  <dc:creator/>
  <dc:language>en</dc:language>
  <cp:keywords/>
  <dcterms:created xsi:type="dcterms:W3CDTF">2026-07-23T15:16:45Z</dcterms:created>
  <dcterms:modified xsi:type="dcterms:W3CDTF">2026-07-23T15:16:45Z</dcterms:modified>
</cp:coreProperties>
</file>

<file path=docProps/custom.xml><?xml version="1.0" encoding="utf-8"?>
<Properties xmlns="http://schemas.openxmlformats.org/officeDocument/2006/custom-properties" xmlns:vt="http://schemas.openxmlformats.org/officeDocument/2006/docPropsVTypes"/>
</file>