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Firm</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cf9fc94eb1385db92499fdffa0d4bd0a2f98b8a"/>
    <w:p>
      <w:pPr>
        <w:pStyle w:val="Heading1"/>
      </w:pPr>
      <w:r>
        <w:t xml:space="preserve">Strategic Marketing Plan for Civil Engineering Services in Kuala Lumpur, Malaysia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civil engineering services across Malaysia Kuala Lumpur. As the capital city undergoes unprecedented infrastructure development under initiatives like the Klang Valley Master Plan and National Infrastructure Fund (NIF), our firm positions itself as the premier Civil Engineer partner for sustainable, technology-driven projects. The plan targets RM 12 million in new business within 18 months through localized market penetration, leveraging Kuala Lumpur's unique urban challenges and Malaysia's national development priorities.</w:t>
      </w:r>
    </w:p>
    <w:bookmarkEnd w:id="20"/>
    <w:bookmarkStart w:id="21" w:name="market-analysis-kuala-lumpur-context"/>
    <w:p>
      <w:pPr>
        <w:pStyle w:val="Heading2"/>
      </w:pPr>
      <w:r>
        <w:t xml:space="preserve">Market Analysis: Kuala Lumpur Context</w:t>
      </w:r>
    </w:p>
    <w:p>
      <w:pPr>
        <w:pStyle w:val="FirstParagraph"/>
      </w:pPr>
      <w:r>
        <w:t xml:space="preserve">Kuala Lumpur represents a dynamic hub for Civil Engineer services with projected infrastructure spending exceeding RM 15 billion annually. The city faces critical demands including:</w:t>
      </w:r>
    </w:p>
    <w:p>
      <w:pPr>
        <w:numPr>
          <w:ilvl w:val="0"/>
          <w:numId w:val="1001"/>
        </w:numPr>
        <w:pStyle w:val="Compact"/>
      </w:pPr>
      <w:r>
        <w:rPr>
          <w:bCs/>
          <w:b/>
        </w:rPr>
        <w:t xml:space="preserve">Urban Congestion Solutions:</w:t>
      </w:r>
      <w:r>
        <w:t xml:space="preserve"> </w:t>
      </w:r>
      <w:r>
        <w:t xml:space="preserve">80% of KL commuters experience daily traffic delays (LTA 2023), driving demand for intelligent transport systems.</w:t>
      </w:r>
    </w:p>
    <w:p>
      <w:pPr>
        <w:numPr>
          <w:ilvl w:val="0"/>
          <w:numId w:val="1001"/>
        </w:numPr>
        <w:pStyle w:val="Compact"/>
      </w:pPr>
      <w:r>
        <w:rPr>
          <w:bCs/>
          <w:b/>
        </w:rPr>
        <w:t xml:space="preserve">Sustainable Development Mandates:</w:t>
      </w:r>
      <w:r>
        <w:t xml:space="preserve"> </w:t>
      </w:r>
      <w:r>
        <w:t xml:space="preserve">Malaysia's Green Building Index (GBI) requires all new public projects to achieve GBI Gold certification by 2025.</w:t>
      </w:r>
    </w:p>
    <w:p>
      <w:pPr>
        <w:numPr>
          <w:ilvl w:val="0"/>
          <w:numId w:val="1001"/>
        </w:numPr>
        <w:pStyle w:val="Compact"/>
      </w:pPr>
      <w:r>
        <w:rPr>
          <w:bCs/>
          <w:b/>
        </w:rPr>
        <w:t xml:space="preserve">Digital Transformation:</w:t>
      </w:r>
      <w:r>
        <w:t xml:space="preserve"> </w:t>
      </w:r>
      <w:r>
        <w:t xml:space="preserve">KL's Smart City initiative integrates IoT sensors in 1,200+ infrastructure assets, creating need for BIM-savvy Civil Engineers.</w:t>
      </w:r>
    </w:p>
    <w:p>
      <w:pPr>
        <w:pStyle w:val="FirstParagraph"/>
      </w:pPr>
      <w:r>
        <w:t xml:space="preserve">Competitor analysis reveals a gap in firms combining deep local regulatory knowledge (Department of Town and Country Planning, DUSP) with cutting-edge sustainable engineering practices – our core differentiator in the Malaysia Kuala Lumpur market.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Profile</w:t>
            </w:r>
          </w:p>
        </w:tc>
        <w:tc>
          <w:tcPr/>
          <w:p>
            <w:pPr>
              <w:pStyle w:val="Compact"/>
              <w:jc w:val="left"/>
            </w:pPr>
            <w:r>
              <w:t xml:space="preserve">Pain Points</w:t>
            </w:r>
          </w:p>
        </w:tc>
      </w:tr>
      <w:tr>
        <w:tc>
          <w:tcPr/>
          <w:p>
            <w:pPr>
              <w:pStyle w:val="Compact"/>
              <w:jc w:val="left"/>
            </w:pPr>
            <w:r>
              <w:t xml:space="preserve">Government Agencies (JKR, LTA)</w:t>
            </w:r>
          </w:p>
        </w:tc>
        <w:tc>
          <w:tcPr/>
          <w:p>
            <w:pPr>
              <w:pStyle w:val="Compact"/>
              <w:jc w:val="left"/>
            </w:pPr>
            <w:r>
              <w:t xml:space="preserve">Dedicated to public infrastructure projects under RM 50M; requires strict compliance with Malaysia's Public Procurement Act</w:t>
            </w:r>
          </w:p>
        </w:tc>
        <w:tc>
          <w:tcPr/>
          <w:p>
            <w:pPr>
              <w:pStyle w:val="Compact"/>
              <w:jc w:val="left"/>
            </w:pPr>
            <w:r>
              <w:t xml:space="preserve">Delays in project approvals, budget overruns in flood mitigation projects</w:t>
            </w:r>
          </w:p>
        </w:tc>
      </w:tr>
      <w:tr>
        <w:tc>
          <w:tcPr/>
          <w:p>
            <w:pPr>
              <w:pStyle w:val="Compact"/>
              <w:jc w:val="left"/>
            </w:pPr>
            <w:r>
              <w:t xml:space="preserve">Private Developers (SP Setia, Sime Darby)</w:t>
            </w:r>
          </w:p>
        </w:tc>
        <w:tc>
          <w:tcPr/>
          <w:p>
            <w:pPr>
              <w:pStyle w:val="Compact"/>
              <w:jc w:val="left"/>
            </w:pPr>
            <w:r>
              <w:t xml:space="preserve">Luxury residential/commercial developers targeting KL's Central Business District</w:t>
            </w:r>
          </w:p>
        </w:tc>
        <w:tc>
          <w:tcPr/>
          <w:p>
            <w:pPr>
              <w:pStyle w:val="Compact"/>
              <w:jc w:val="left"/>
            </w:pPr>
            <w:r>
              <w:t xml:space="preserve">Pressure to accelerate project timelines while meeting GBI standards</w:t>
            </w:r>
          </w:p>
        </w:tc>
      </w:tr>
      <w:tr>
        <w:tc>
          <w:tcPr/>
          <w:p>
            <w:pPr>
              <w:pStyle w:val="Compact"/>
              <w:jc w:val="left"/>
            </w:pPr>
            <w:r>
              <w:t xml:space="preserve">Municipal Authorities (DBKL)</w:t>
            </w:r>
          </w:p>
        </w:tc>
        <w:tc>
          <w:tcPr/>
          <w:p>
            <w:pPr>
              <w:pStyle w:val="Compact"/>
              <w:jc w:val="left"/>
            </w:pPr>
            <w:r>
              <w:t xml:space="preserve">Responsible for urban renewal in 42 sub-districts across KL</w:t>
            </w:r>
          </w:p>
        </w:tc>
        <w:tc>
          <w:tcPr/>
          <w:p>
            <w:pPr>
              <w:pStyle w:val="Compact"/>
              <w:jc w:val="left"/>
            </w:pPr>
            <w:r>
              <w:t xml:space="preserve">Legacy infrastructure maintenance costs exceeding RM 1.8 billion annually</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Share:</w:t>
      </w:r>
      <w:r>
        <w:t xml:space="preserve"> </w:t>
      </w:r>
      <w:r>
        <w:t xml:space="preserve">Capture 15% of mid-tier civil engineering contracts in Kuala Lumpur (RM 5M–RM 50M value) by Q3 2026</w:t>
      </w:r>
    </w:p>
    <w:p>
      <w:pPr>
        <w:numPr>
          <w:ilvl w:val="0"/>
          <w:numId w:val="1002"/>
        </w:numPr>
        <w:pStyle w:val="Compact"/>
      </w:pPr>
      <w:r>
        <w:rPr>
          <w:bCs/>
          <w:b/>
        </w:rPr>
        <w:t xml:space="preserve">Digital Presence:</w:t>
      </w:r>
      <w:r>
        <w:t xml:space="preserve"> </w:t>
      </w:r>
      <w:r>
        <w:t xml:space="preserve">Achieve top-3 ranking for 'Civil Engineer Kuala Lumpur' on Google My Business by end-Q1 2025</w:t>
      </w:r>
    </w:p>
    <w:p>
      <w:pPr>
        <w:numPr>
          <w:ilvl w:val="0"/>
          <w:numId w:val="1002"/>
        </w:numPr>
        <w:pStyle w:val="Compact"/>
      </w:pPr>
      <w:r>
        <w:rPr>
          <w:bCs/>
          <w:b/>
        </w:rPr>
        <w:t xml:space="preserve">Client Acquisition:</w:t>
      </w:r>
      <w:r>
        <w:t xml:space="preserve"> </w:t>
      </w:r>
      <w:r>
        <w:t xml:space="preserve">Secure 8 government contracts and 12 private sector projects through targeted outreach</w:t>
      </w:r>
    </w:p>
    <w:p>
      <w:pPr>
        <w:numPr>
          <w:ilvl w:val="0"/>
          <w:numId w:val="1002"/>
        </w:numPr>
        <w:pStyle w:val="Compact"/>
      </w:pPr>
      <w:r>
        <w:rPr>
          <w:bCs/>
          <w:b/>
        </w:rPr>
        <w:t xml:space="preserve">Sustainability Positioning:</w:t>
      </w:r>
      <w:r>
        <w:t xml:space="preserve"> </w:t>
      </w:r>
      <w:r>
        <w:t xml:space="preserve">Certify 95% of project designs with GBI Gold standards within operational year</w:t>
      </w:r>
    </w:p>
    <w:bookmarkEnd w:id="23"/>
    <w:bookmarkStart w:id="27" w:name="strategic-marketing-tactics"/>
    <w:p>
      <w:pPr>
        <w:pStyle w:val="Heading2"/>
      </w:pPr>
      <w:r>
        <w:t xml:space="preserve">Strategic Marketing Tactics</w:t>
      </w:r>
    </w:p>
    <w:bookmarkStart w:id="24" w:name="hyper-localized-content-strategy"/>
    <w:p>
      <w:pPr>
        <w:pStyle w:val="Heading3"/>
      </w:pPr>
      <w:r>
        <w:t xml:space="preserve">1. Hyper-Localized Content Strategy</w:t>
      </w:r>
    </w:p>
    <w:p>
      <w:pPr>
        <w:pStyle w:val="FirstParagraph"/>
      </w:pPr>
      <w:r>
        <w:t xml:space="preserve">We will develop Kuala Lumpur-specific case studies highlighting solutions for local challenges:</w:t>
      </w:r>
    </w:p>
    <w:p>
      <w:pPr>
        <w:numPr>
          <w:ilvl w:val="0"/>
          <w:numId w:val="1003"/>
        </w:numPr>
        <w:pStyle w:val="Compact"/>
      </w:pPr>
      <w:r>
        <w:t xml:space="preserve">'KL Sentral Flood Mitigation Project: How Our Civil Engineers Reduced Drainage Backlog by 70%'</w:t>
      </w:r>
    </w:p>
    <w:p>
      <w:pPr>
        <w:numPr>
          <w:ilvl w:val="0"/>
          <w:numId w:val="1003"/>
        </w:numPr>
        <w:pStyle w:val="Compact"/>
      </w:pPr>
      <w:r>
        <w:t xml:space="preserve">Whitepaper: 'Compliance Roadmap for GBI Gold Certification in KL's Tropical Climate'</w:t>
      </w:r>
    </w:p>
    <w:p>
      <w:pPr>
        <w:numPr>
          <w:ilvl w:val="0"/>
          <w:numId w:val="1003"/>
        </w:numPr>
        <w:pStyle w:val="Compact"/>
      </w:pPr>
      <w:r>
        <w:t xml:space="preserve">Monthly webinars with DBKL officials on 'Urban Resilience Planning for Kuala Lumpur' (streamed via YouTube Malaysia)</w:t>
      </w:r>
    </w:p>
    <w:bookmarkEnd w:id="24"/>
    <w:bookmarkStart w:id="25" w:name="strategic-partnerships"/>
    <w:p>
      <w:pPr>
        <w:pStyle w:val="Heading3"/>
      </w:pPr>
      <w:r>
        <w:t xml:space="preserve">2. Strategic Partnerships</w:t>
      </w:r>
    </w:p>
    <w:p>
      <w:pPr>
        <w:pStyle w:val="FirstParagraph"/>
      </w:pPr>
      <w:r>
        <w:t xml:space="preserve">Cross-promotion with key Malaysia stakeholders:</w:t>
      </w:r>
    </w:p>
    <w:p>
      <w:pPr>
        <w:numPr>
          <w:ilvl w:val="0"/>
          <w:numId w:val="1004"/>
        </w:numPr>
        <w:pStyle w:val="Compact"/>
      </w:pPr>
      <w:r>
        <w:rPr>
          <w:iCs/>
          <w:i/>
        </w:rPr>
        <w:t xml:space="preserve">Academic Ties:</w:t>
      </w:r>
      <w:r>
        <w:t xml:space="preserve"> </w:t>
      </w:r>
      <w:r>
        <w:t xml:space="preserve">MOU with Universiti Teknologi Malaysia (UTM) Civil Engineering Department for student internships and research on KL-specific soil conditions</w:t>
      </w:r>
    </w:p>
    <w:p>
      <w:pPr>
        <w:numPr>
          <w:ilvl w:val="0"/>
          <w:numId w:val="1004"/>
        </w:numPr>
        <w:pStyle w:val="Compact"/>
      </w:pPr>
      <w:r>
        <w:rPr>
          <w:iCs/>
          <w:i/>
        </w:rPr>
        <w:t xml:space="preserve">Government Alignment:</w:t>
      </w:r>
      <w:r>
        <w:t xml:space="preserve"> </w:t>
      </w:r>
      <w:r>
        <w:t xml:space="preserve">Formal partnership with JKR to co-host 'Infrastructure Innovation Workshops' at KL's MRT stations</w:t>
      </w:r>
    </w:p>
    <w:p>
      <w:pPr>
        <w:numPr>
          <w:ilvl w:val="0"/>
          <w:numId w:val="1004"/>
        </w:numPr>
        <w:pStyle w:val="Compact"/>
      </w:pPr>
      <w:r>
        <w:rPr>
          <w:iCs/>
          <w:i/>
        </w:rPr>
        <w:t xml:space="preserve">Technology Alliances:</w:t>
      </w:r>
      <w:r>
        <w:t xml:space="preserve"> </w:t>
      </w:r>
      <w:r>
        <w:t xml:space="preserve">Integration of Autodesk BIM 360 with Malaysia's National Geospatial Information System (NGIS)</w:t>
      </w:r>
    </w:p>
    <w:bookmarkEnd w:id="25"/>
    <w:bookmarkStart w:id="26" w:name="digital-marketing-for-localized-reach"/>
    <w:p>
      <w:pPr>
        <w:pStyle w:val="Heading3"/>
      </w:pPr>
      <w:r>
        <w:t xml:space="preserve">3. Digital Marketing for Localized Reach</w:t>
      </w:r>
    </w:p>
    <w:p>
      <w:pPr>
        <w:pStyle w:val="FirstParagraph"/>
      </w:pPr>
      <w:r>
        <w:t xml:space="preserve">Leveraging Malaysia-specific digital channels:</w:t>
      </w:r>
    </w:p>
    <w:p>
      <w:pPr>
        <w:numPr>
          <w:ilvl w:val="0"/>
          <w:numId w:val="1005"/>
        </w:numPr>
        <w:pStyle w:val="Compact"/>
      </w:pPr>
      <w:r>
        <w:rPr>
          <w:bCs/>
          <w:b/>
        </w:rPr>
        <w:t xml:space="preserve">Google Ads:</w:t>
      </w:r>
      <w:r>
        <w:t xml:space="preserve"> </w:t>
      </w:r>
      <w:r>
        <w:t xml:space="preserve">Geo-targeted campaigns using 'Civil Engineer KL', 'Malaysia Infrastructure Consultant' keywords with Malay-language ad extensions</w:t>
      </w:r>
    </w:p>
    <w:p>
      <w:pPr>
        <w:numPr>
          <w:ilvl w:val="0"/>
          <w:numId w:val="1005"/>
        </w:numPr>
        <w:pStyle w:val="Compact"/>
      </w:pPr>
      <w:r>
        <w:rPr>
          <w:bCs/>
          <w:b/>
        </w:rPr>
        <w:t xml:space="preserve">TikTok/Instagram:</w:t>
      </w:r>
      <w:r>
        <w:t xml:space="preserve"> </w:t>
      </w:r>
      <w:r>
        <w:t xml:space="preserve">Short videos showcasing real-time project progress at KL construction sites (e.g., Tun Razak Exchange development)</w:t>
      </w:r>
    </w:p>
    <w:p>
      <w:pPr>
        <w:numPr>
          <w:ilvl w:val="0"/>
          <w:numId w:val="1005"/>
        </w:numPr>
        <w:pStyle w:val="Compact"/>
      </w:pPr>
      <w:r>
        <w:rPr>
          <w:bCs/>
          <w:b/>
        </w:rPr>
        <w:t xml:space="preserve">LinkedIn Campaigns:</w:t>
      </w:r>
      <w:r>
        <w:t xml:space="preserve"> </w:t>
      </w:r>
      <w:r>
        <w:t xml:space="preserve">Targeted outreach to JKR engineers and DBKL procurement managers with case studies of previous KL projects</w:t>
      </w:r>
    </w:p>
    <w:bookmarkEnd w:id="26"/>
    <w:bookmarkEnd w:id="27"/>
    <w:bookmarkStart w:id="28" w:name="budget-allocation-total-rm-1.8-million"/>
    <w:p>
      <w:pPr>
        <w:pStyle w:val="Heading2"/>
      </w:pPr>
      <w:r>
        <w:t xml:space="preserve">Budget Allocation (Total: RM 1.8 Million)</w:t>
      </w:r>
    </w:p>
    <w:p>
      <w:pPr>
        <w:pStyle w:val="FirstParagraph"/>
      </w:pPr>
      <w:r>
        <w:t xml:space="preserve">Category</w:t>
      </w:r>
    </w:p>
    <w:p>
      <w:pPr>
        <w:pStyle w:val="BodyText"/>
      </w:pPr>
      <w:r>
        <w:t xml:space="preserve">Allocation (RM)</w:t>
      </w:r>
    </w:p>
    <w:p>
      <w:pPr>
        <w:pStyle w:val="BodyText"/>
      </w:pPr>
      <w:r>
        <w:t xml:space="preserve">Local Malaysia Focus</w:t>
      </w:r>
    </w:p>
    <w:p>
      <w:pPr>
        <w:pStyle w:val="BodyText"/>
      </w:pPr>
      <w:r>
        <w:t xml:space="preserve">Digital Marketing (Google/LinkedIn)</w:t>
      </w:r>
    </w:p>
    <w:p>
      <w:pPr>
        <w:pStyle w:val="BodyText"/>
      </w:pPr>
      <w:r>
        <w:t xml:space="preserve">450,000</w:t>
      </w:r>
    </w:p>
    <w:p>
      <w:pPr>
        <w:pStyle w:val="BodyText"/>
      </w:pPr>
      <w:r>
        <w:t xml:space="preserve">Geo-targeting KL city limits + Bahasa Malaysia content</w:t>
      </w:r>
    </w:p>
    <w:p>
      <w:pPr>
        <w:pStyle w:val="BodyText"/>
      </w:pPr>
      <w:r>
        <w:t xml:space="preserve">Government Engagement</w:t>
      </w:r>
    </w:p>
    <w:p>
      <w:pPr>
        <w:pStyle w:val="BodyText"/>
      </w:pPr>
      <w:r>
        <w:t xml:space="preserve">325,000KL workshop hosting at DBKL offices &amp; JKR events</w:t>
      </w:r>
    </w:p>
    <w:p>
      <w:pPr>
        <w:pStyle w:val="BodyText"/>
      </w:pPr>
      <w:r>
        <w:t xml:space="preserve">Digital Content Production</w:t>
      </w:r>
    </w:p>
    <w:p>
      <w:pPr>
        <w:pStyle w:val="BodyText"/>
      </w:pPr>
      <w:r>
        <w:t xml:space="preserve">275,000</w:t>
      </w:r>
    </w:p>
    <w:p>
      <w:pPr>
        <w:pStyle w:val="BodyText"/>
      </w:pPr>
      <w:r>
        <w:t xml:space="preserve">KL-specific video case studies with local actors/locations</w:t>
      </w:r>
    </w:p>
    <w:p>
      <w:pPr>
        <w:pStyle w:val="BodyText"/>
      </w:pPr>
      <w:r>
        <w:t xml:space="preserve">Sustainability Certification Costs</w:t>
      </w:r>
    </w:p>
    <w:p>
      <w:pPr>
        <w:pStyle w:val="BodyText"/>
      </w:pPr>
      <w:r>
        <w:t xml:space="preserve">350,000</w:t>
      </w:r>
    </w:p>
    <w:p>
      <w:pPr>
        <w:pStyle w:val="BodyText"/>
      </w:pPr>
      <w:r>
        <w:t xml:space="preserve">Trade Show Participation (KL-based)</w:t>
      </w:r>
    </w:p>
    <w:p>
      <w:pPr>
        <w:pStyle w:val="BodyText"/>
      </w:pPr>
      <w:r>
        <w:t xml:space="preserve">225,000</w:t>
      </w:r>
    </w:p>
    <w:p>
      <w:pPr>
        <w:pStyle w:val="BodyText"/>
      </w:pPr>
      <w:r>
        <w:t xml:space="preserve">KL International Construction Expo 2024 booth</w:t>
      </w:r>
    </w:p>
    <w:p>
      <w:pPr>
        <w:pStyle w:val="BodyText"/>
      </w:pPr>
      <w:r>
        <w:t xml:space="preserve">Total</w:t>
      </w:r>
    </w:p>
    <w:p>
      <w:pPr>
        <w:pStyle w:val="BodyText"/>
      </w:pPr>
      <w:r>
        <w:t xml:space="preserve">1,825,000</w:t>
      </w:r>
    </w:p>
    <w:bookmarkEnd w:id="28"/>
    <w:bookmarkStart w:id="29" w:name="implementation-timeline-q1-2024-q3-2025"/>
    <w:p>
      <w:pPr>
        <w:pStyle w:val="Heading2"/>
      </w:pPr>
      <w:r>
        <w:t xml:space="preserve">Implementation Timeline (Q1 2024 – Q3 2025)</w:t>
      </w:r>
    </w:p>
    <w:p>
      <w:pPr>
        <w:numPr>
          <w:ilvl w:val="0"/>
          <w:numId w:val="1006"/>
        </w:numPr>
        <w:pStyle w:val="Compact"/>
      </w:pPr>
      <w:r>
        <w:rPr>
          <w:bCs/>
          <w:b/>
        </w:rPr>
        <w:t xml:space="preserve">Q1 2024:</w:t>
      </w:r>
      <w:r>
        <w:t xml:space="preserve"> </w:t>
      </w:r>
      <w:r>
        <w:t xml:space="preserve">Finalize DBKL partnership; launch KL-focused website with Bahasa Malaysia toggle</w:t>
      </w:r>
    </w:p>
    <w:p>
      <w:pPr>
        <w:numPr>
          <w:ilvl w:val="0"/>
          <w:numId w:val="1006"/>
        </w:numPr>
        <w:pStyle w:val="Compact"/>
      </w:pPr>
      <w:r>
        <w:rPr>
          <w:bCs/>
          <w:b/>
        </w:rPr>
        <w:t xml:space="preserve">Q3 2024:</w:t>
      </w:r>
      <w:r>
        <w:t xml:space="preserve"> </w:t>
      </w:r>
      <w:r>
        <w:t xml:space="preserve">Execute first GBI-certified project (KL Sentral retail development); host first 'Urban Resilience' webinar</w:t>
      </w:r>
    </w:p>
    <w:p>
      <w:pPr>
        <w:numPr>
          <w:ilvl w:val="0"/>
          <w:numId w:val="1006"/>
        </w:numPr>
        <w:pStyle w:val="Compact"/>
      </w:pPr>
      <w:r>
        <w:rPr>
          <w:bCs/>
          <w:b/>
        </w:rPr>
        <w:t xml:space="preserve">Q1 2025:</w:t>
      </w:r>
      <w:r>
        <w:t xml:space="preserve"> </w:t>
      </w:r>
      <w:r>
        <w:t xml:space="preserve">Secure JKR pilot contract for MRT Line 3 drainage upgrades; appear at KL International Construction Expo</w:t>
      </w:r>
    </w:p>
    <w:p>
      <w:pPr>
        <w:numPr>
          <w:ilvl w:val="0"/>
          <w:numId w:val="1006"/>
        </w:numPr>
        <w:pStyle w:val="Compact"/>
      </w:pPr>
      <w:r>
        <w:rPr>
          <w:bCs/>
          <w:b/>
        </w:rPr>
        <w:t xml:space="preserve">Q3 2025:</w:t>
      </w:r>
      <w:r>
        <w:t xml:space="preserve"> </w:t>
      </w:r>
      <w:r>
        <w:t xml:space="preserve">Achieve RM 6M in contracted revenue; publish 'KL Infrastructure Readiness Report'</w:t>
      </w:r>
    </w:p>
    <w:bookmarkEnd w:id="29"/>
    <w:bookmarkStart w:id="30" w:name="Xc51882cb6e84d28753b969d33f1935f9d2fe1d6"/>
    <w:p>
      <w:pPr>
        <w:pStyle w:val="Heading2"/>
      </w:pPr>
      <w:r>
        <w:t xml:space="preserve">Evaluation Metrics for Malaysia Kuala Lumpur Context</w:t>
      </w:r>
    </w:p>
    <w:p>
      <w:pPr>
        <w:pStyle w:val="FirstParagraph"/>
      </w:pPr>
      <w:r>
        <w:t xml:space="preserve">We track success through local KPIs specific to the Kuala Lumpur market:</w:t>
      </w:r>
    </w:p>
    <w:p>
      <w:pPr>
        <w:numPr>
          <w:ilvl w:val="0"/>
          <w:numId w:val="1007"/>
        </w:numPr>
        <w:pStyle w:val="Compact"/>
      </w:pPr>
      <w:r>
        <w:rPr>
          <w:bCs/>
          <w:b/>
        </w:rPr>
        <w:t xml:space="preserve">Local Market Penetration Rate:</w:t>
      </w:r>
      <w:r>
        <w:t xml:space="preserve"> </w:t>
      </w:r>
      <w:r>
        <w:t xml:space="preserve">% of new contracts from KL-based clients (Target: 75% by Year 2)</w:t>
      </w:r>
    </w:p>
    <w:p>
      <w:pPr>
        <w:numPr>
          <w:ilvl w:val="0"/>
          <w:numId w:val="1007"/>
        </w:numPr>
        <w:pStyle w:val="Compact"/>
      </w:pPr>
      <w:r>
        <w:rPr>
          <w:bCs/>
          <w:b/>
        </w:rPr>
        <w:t xml:space="preserve">Cultural Adaptation Score:</w:t>
      </w:r>
      <w:r>
        <w:t xml:space="preserve"> </w:t>
      </w:r>
      <w:r>
        <w:t xml:space="preserve">Client satisfaction on "understanding Malaysian project nuances" (Target: 4.7/5)</w:t>
      </w:r>
    </w:p>
    <w:p>
      <w:pPr>
        <w:numPr>
          <w:ilvl w:val="0"/>
          <w:numId w:val="1007"/>
        </w:numPr>
        <w:pStyle w:val="Compact"/>
      </w:pPr>
      <w:r>
        <w:rPr>
          <w:bCs/>
          <w:b/>
        </w:rPr>
        <w:t xml:space="preserve">Regulatory Compliance Index:</w:t>
      </w:r>
      <w:r>
        <w:t xml:space="preserve"> </w:t>
      </w:r>
      <w:r>
        <w:t xml:space="preserve">Zero non-compliance incidents in DUSP submissions</w:t>
      </w:r>
    </w:p>
    <w:p>
      <w:pPr>
        <w:numPr>
          <w:ilvl w:val="0"/>
          <w:numId w:val="1007"/>
        </w:numPr>
        <w:pStyle w:val="Compact"/>
      </w:pPr>
      <w:r>
        <w:rPr>
          <w:bCs/>
          <w:b/>
        </w:rPr>
        <w:t xml:space="preserve">Sustainability Impact:</w:t>
      </w:r>
      <w:r>
        <w:t xml:space="preserve"> </w:t>
      </w:r>
      <w:r>
        <w:t xml:space="preserve">Percentage of projects achieving GBI Gold (Target: 95%)</w:t>
      </w:r>
    </w:p>
    <w:bookmarkEnd w:id="30"/>
    <w:bookmarkStart w:id="31" w:name="Xd176e9d40192e4136df66a6632a7eca49ee25d0"/>
    <w:p>
      <w:pPr>
        <w:pStyle w:val="Heading2"/>
      </w:pPr>
      <w:r>
        <w:t xml:space="preserve">Conclusion: Building KL's Future, One Project at a Time</w:t>
      </w:r>
    </w:p>
    <w:p>
      <w:pPr>
        <w:pStyle w:val="FirstParagraph"/>
      </w:pPr>
      <w:r>
        <w:t xml:space="preserve">This Marketing Plan positions our Civil Engineer firm as the indispensable partner for Kuala Lumpur's infrastructure evolution. By embedding ourselves within Malaysia's unique development ecosystem – from navigating JKR procurement to solving tropical climate challenges – we transform from service provider to strategic urban partner. The focus on local relevance, measurable outcomes for KL-specific problems, and alignment with national sustainability goals (RM 1 billion green fund allocation in 2024) ensures our marketing drives tangible growth while contributing to Malaysia Kuala Lumpur's legacy as Southeast Asia's most advanced sustainable metropolis.</w:t>
      </w:r>
    </w:p>
    <w:p>
      <w:pPr>
        <w:pStyle w:val="BodyText"/>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Firm in Kuala Lumpur, Malaysia</dc:title>
  <dc:creator/>
  <dc:language>en</dc:language>
  <cp:keywords/>
  <dcterms:created xsi:type="dcterms:W3CDTF">2026-07-21T08:23:05Z</dcterms:created>
  <dcterms:modified xsi:type="dcterms:W3CDTF">2026-07-21T08:23:05Z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