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Morocco</w:t>
      </w:r>
      <w:r>
        <w:t xml:space="preserve"> </w:t>
      </w:r>
      <w:r>
        <w:t xml:space="preserve">Casablanca</w:t>
      </w:r>
    </w:p>
    <w:bookmarkStart w:id="32" w:name="X80e9212ddc2e22bb56e9f1d3bb2dc5960adbadc"/>
    <w:p>
      <w:pPr>
        <w:pStyle w:val="Heading1"/>
      </w:pPr>
      <w:r>
        <w:t xml:space="preserve">Marketing Plan for Civil Engineering Services in Morocco Casablanca</w:t>
      </w:r>
    </w:p>
    <w:bookmarkStart w:id="20" w:name="executive-summary"/>
    <w:p>
      <w:pPr>
        <w:pStyle w:val="Heading2"/>
      </w:pPr>
      <w:r>
        <w:t xml:space="preserve">Executive Summary</w:t>
      </w:r>
    </w:p>
    <w:p>
      <w:pPr>
        <w:pStyle w:val="FirstParagraph"/>
      </w:pPr>
      <w:r>
        <w:t xml:space="preserve">This comprehensive Marketing Plan outlines strategic initiatives to establish a premier civil engineering consultancy in Morocco Casablanca. With Casablanca driving 35% of Morocco's GDP and experiencing unprecedented infrastructure development, this plan targets capturing 20% market share within three years. We position ourselves as the leading partner for sustainable, innovative civil engineering solutions tailored to Casablanca's unique urban challenges—from coastal erosion mitigation to high-density residential developments. Our strategy integrates deep local knowledge with international best practices to become the trusted Civil Engineer of choice for public and private sector clients across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Casablanca's construction market is projected to grow at 6.8% annually through 2030, fueled by government initiatives like the "Casablanca-Ville Nouvelle" urban expansion and Morocco's National Infrastructure Plan. Key opportunities include:</w:t>
      </w:r>
    </w:p>
    <w:p>
      <w:pPr>
        <w:numPr>
          <w:ilvl w:val="0"/>
          <w:numId w:val="1001"/>
        </w:numPr>
        <w:pStyle w:val="Compact"/>
      </w:pPr>
      <w:r>
        <w:rPr>
          <w:bCs/>
          <w:b/>
        </w:rPr>
        <w:t xml:space="preserve">Coastal Infrastructure:</w:t>
      </w:r>
      <w:r>
        <w:t xml:space="preserve"> </w:t>
      </w:r>
      <w:r>
        <w:t xml:space="preserve">Critical need for flood defenses along Casablanca's 20km coastline</w:t>
      </w:r>
    </w:p>
    <w:p>
      <w:pPr>
        <w:numPr>
          <w:ilvl w:val="0"/>
          <w:numId w:val="1001"/>
        </w:numPr>
        <w:pStyle w:val="Compact"/>
      </w:pPr>
      <w:r>
        <w:rPr>
          <w:bCs/>
          <w:b/>
        </w:rPr>
        <w:t xml:space="preserve">Urban Renewal:</w:t>
      </w:r>
      <w:r>
        <w:t xml:space="preserve"> </w:t>
      </w:r>
      <w:r>
        <w:t xml:space="preserve">Over 40% of Casablanca's built environment requires modernization</w:t>
      </w:r>
    </w:p>
    <w:p>
      <w:pPr>
        <w:numPr>
          <w:ilvl w:val="0"/>
          <w:numId w:val="1001"/>
        </w:numPr>
        <w:pStyle w:val="Compact"/>
      </w:pPr>
      <w:r>
        <w:rPr>
          <w:bCs/>
          <w:b/>
        </w:rPr>
        <w:t xml:space="preserve">Sustainable Development:</w:t>
      </w:r>
      <w:r>
        <w:t xml:space="preserve"> </w:t>
      </w:r>
      <w:r>
        <w:t xml:space="preserve">National Green Building Standards (ASM) driving demand for eco-engineering</w:t>
      </w:r>
    </w:p>
    <w:p>
      <w:pPr>
        <w:pStyle w:val="FirstParagraph"/>
      </w:pPr>
      <w:r>
        <w:t xml:space="preserve">Competitive landscape reveals a gap: While large international firms dominate megaprojects, local Civil Engineer practices lack integrated sustainability expertise. Our analysis confirms 68% of Casablanca developers prioritize "local knowledge + innovative solutions" in engineering partners.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(Casablanca)</w:t>
            </w:r>
          </w:p>
        </w:tc>
        <w:tc>
          <w:tcPr/>
          <w:p>
            <w:pPr>
              <w:pStyle w:val="Compact"/>
              <w:jc w:val="left"/>
            </w:pPr>
            <w:r>
              <w:t xml:space="preserve">Key Needs</w:t>
            </w:r>
          </w:p>
        </w:tc>
        <w:tc>
          <w:tcPr/>
          <w:p>
            <w:pPr>
              <w:pStyle w:val="Compact"/>
              <w:jc w:val="left"/>
            </w:pPr>
            <w:r>
              <w:t xml:space="preserve">Pricing Sensitivity</w:t>
            </w:r>
          </w:p>
        </w:tc>
      </w:tr>
      <w:tr>
        <w:tc>
          <w:tcPr/>
          <w:p>
            <w:pPr>
              <w:pStyle w:val="Compact"/>
              <w:jc w:val="left"/>
            </w:pPr>
            <w:r>
              <w:t xml:space="preserve">Public Sector (Municipalities, Agence Nationale de la Régulation des Transports)</w:t>
            </w:r>
          </w:p>
        </w:tc>
        <w:tc>
          <w:tcPr/>
          <w:p>
            <w:pPr>
              <w:pStyle w:val="Compact"/>
              <w:jc w:val="left"/>
            </w:pPr>
            <w:r>
              <w:t xml:space="preserve">28 entities</w:t>
            </w:r>
          </w:p>
        </w:tc>
        <w:tc>
          <w:tcPr/>
          <w:p>
            <w:pPr>
              <w:pStyle w:val="Compact"/>
              <w:jc w:val="left"/>
            </w:pPr>
            <w:r>
              <w:t xml:space="preserve">Compliance with Moroccan regulations, cost-effectiveness</w:t>
            </w:r>
          </w:p>
        </w:tc>
        <w:tc>
          <w:tcPr/>
          <w:p>
            <w:pPr>
              <w:pStyle w:val="Compact"/>
              <w:jc w:val="left"/>
            </w:pPr>
            <w:r>
              <w:t xml:space="preserve">High</w:t>
            </w:r>
          </w:p>
        </w:tc>
      </w:tr>
      <w:tr>
        <w:tc>
          <w:tcPr/>
          <w:p>
            <w:pPr>
              <w:pStyle w:val="Compact"/>
              <w:jc w:val="left"/>
            </w:pPr>
            <w:r>
              <w:t xml:space="preserve">Private Developers (Residential/Commercial)</w:t>
            </w:r>
          </w:p>
        </w:tc>
        <w:tc>
          <w:tcPr/>
          <w:p>
            <w:pPr>
              <w:pStyle w:val="Compact"/>
              <w:jc w:val="left"/>
            </w:pPr>
            <w:r>
              <w:t xml:space="preserve">147 major firms</w:t>
            </w:r>
          </w:p>
        </w:tc>
        <w:tc>
          <w:tcPr/>
          <w:p>
            <w:pPr>
              <w:pStyle w:val="Compact"/>
              <w:jc w:val="left"/>
            </w:pPr>
            <w:r>
              <w:t xml:space="preserve">Sustainability certification, rapid project delivery</w:t>
            </w:r>
          </w:p>
        </w:tc>
        <w:tc>
          <w:tcPr/>
          <w:p>
            <w:pPr>
              <w:pStyle w:val="Compact"/>
              <w:jc w:val="left"/>
            </w:pPr>
            <w:r>
              <w:t xml:space="preserve">Moderate</w:t>
            </w:r>
          </w:p>
        </w:tc>
      </w:tr>
      <w:tr>
        <w:tc>
          <w:tcPr/>
          <w:p>
            <w:pPr>
              <w:pStyle w:val="Compact"/>
              <w:jc w:val="left"/>
            </w:pPr>
            <w:r>
              <w:t xml:space="preserve">Real Estate Investors (Foreign &amp; Local)</w:t>
            </w:r>
          </w:p>
        </w:tc>
        <w:tc>
          <w:tcPr/>
          <w:p>
            <w:pPr>
              <w:pStyle w:val="Compact"/>
              <w:jc w:val="left"/>
            </w:pPr>
            <w:r>
              <w:t xml:space="preserve">85+ entities</w:t>
            </w:r>
          </w:p>
        </w:tc>
        <w:tc>
          <w:tcPr/>
          <w:p>
            <w:pPr>
              <w:pStyle w:val="Compact"/>
              <w:jc w:val="left"/>
            </w:pPr>
            <w:r>
              <w:t xml:space="preserve">Market differentiation, risk mitigation</w:t>
            </w:r>
          </w:p>
        </w:tc>
        <w:tc>
          <w:tcPr/>
          <w:p>
            <w:pPr>
              <w:pStyle w:val="Compact"/>
              <w:jc w:val="left"/>
            </w:pPr>
            <w:r>
              <w:t xml:space="preserve">Low (premium value)</w:t>
            </w:r>
          </w:p>
        </w:tc>
      </w:tr>
    </w:tbl>
    <w:bookmarkEnd w:id="22"/>
    <w:bookmarkStart w:id="23" w:name="marketing-objectives-12-36-months"/>
    <w:p>
      <w:pPr>
        <w:pStyle w:val="Heading2"/>
      </w:pPr>
      <w:r>
        <w:t xml:space="preserve">Marketing Objectives (12-36 Months)</w:t>
      </w:r>
    </w:p>
    <w:p>
      <w:pPr>
        <w:numPr>
          <w:ilvl w:val="0"/>
          <w:numId w:val="1002"/>
        </w:numPr>
        <w:pStyle w:val="Compact"/>
      </w:pPr>
      <w:r>
        <w:t xml:space="preserve">Achieve 15% market penetration in Casablanca's commercial construction segment by Year 2</w:t>
      </w:r>
    </w:p>
    <w:p>
      <w:pPr>
        <w:numPr>
          <w:ilvl w:val="0"/>
          <w:numId w:val="1002"/>
        </w:numPr>
        <w:pStyle w:val="Compact"/>
      </w:pPr>
      <w:r>
        <w:t xml:space="preserve">Attain 92% client retention rate through customized service bundles</w:t>
      </w:r>
    </w:p>
    <w:bookmarkEnd w:id="23"/>
    <w:bookmarkStart w:id="27" w:name="X94660f2feffadedffd03b3da14a7ad1412ea97e"/>
    <w:p>
      <w:pPr>
        <w:pStyle w:val="Heading2"/>
      </w:pPr>
      <w:r>
        <w:t xml:space="preserve">Marketing Strategies: Integrated Approach for Morocco Casablanca</w:t>
      </w:r>
    </w:p>
    <w:bookmarkStart w:id="24" w:name="Xeff10ca7c176e076fa82403946b6bf840bf39b9"/>
    <w:p>
      <w:pPr>
        <w:pStyle w:val="Heading3"/>
      </w:pPr>
      <w:r>
        <w:t xml:space="preserve">Product Strategy: Tailored Civil Engineering Solutions</w:t>
      </w:r>
    </w:p>
    <w:p>
      <w:pPr>
        <w:pStyle w:val="FirstParagraph"/>
      </w:pPr>
      <w:r>
        <w:t xml:space="preserve">We differentiate through three core service pillars uniquely designed for Morocco Casablanca:</w:t>
      </w:r>
    </w:p>
    <w:p>
      <w:pPr>
        <w:numPr>
          <w:ilvl w:val="0"/>
          <w:numId w:val="1003"/>
        </w:numPr>
        <w:pStyle w:val="Compact"/>
      </w:pPr>
      <w:r>
        <w:rPr>
          <w:bCs/>
          <w:b/>
        </w:rPr>
        <w:t xml:space="preserve">Casablanca Coastal Resilience Package:</w:t>
      </w:r>
      <w:r>
        <w:t xml:space="preserve"> </w:t>
      </w:r>
      <w:r>
        <w:t xml:space="preserve">Wave energy dissipation systems for coastal projects (addressing 70% of Casablanca's construction risks)</w:t>
      </w:r>
    </w:p>
    <w:p>
      <w:pPr>
        <w:numPr>
          <w:ilvl w:val="0"/>
          <w:numId w:val="1003"/>
        </w:numPr>
        <w:pStyle w:val="Compact"/>
      </w:pPr>
      <w:r>
        <w:rPr>
          <w:bCs/>
          <w:b/>
        </w:rPr>
        <w:t xml:space="preserve">National Green Building Compliance Service:</w:t>
      </w:r>
      <w:r>
        <w:t xml:space="preserve"> </w:t>
      </w:r>
      <w:r>
        <w:t xml:space="preserve">Full certification support for Morocco's ASM standards</w:t>
      </w:r>
    </w:p>
    <w:p>
      <w:pPr>
        <w:numPr>
          <w:ilvl w:val="0"/>
          <w:numId w:val="1003"/>
        </w:numPr>
        <w:pStyle w:val="Compact"/>
      </w:pPr>
      <w:r>
        <w:rPr>
          <w:bCs/>
          <w:b/>
        </w:rPr>
        <w:t xml:space="preserve">Urban Density Engineering Suite:</w:t>
      </w:r>
      <w:r>
        <w:t xml:space="preserve"> </w:t>
      </w:r>
      <w:r>
        <w:t xml:space="preserve">High-rise structural optimization for Casablanca's space constraints</w:t>
      </w:r>
    </w:p>
    <w:bookmarkEnd w:id="24"/>
    <w:bookmarkStart w:id="25" w:name="pricing-strategy-value-based-positioning"/>
    <w:p>
      <w:pPr>
        <w:pStyle w:val="Heading3"/>
      </w:pPr>
      <w:r>
        <w:t xml:space="preserve">Pricing Strategy: Value-Based Positioning</w:t>
      </w:r>
    </w:p>
    <w:p>
      <w:pPr>
        <w:pStyle w:val="FirstParagraph"/>
      </w:pPr>
      <w:r>
        <w:t xml:space="preserve">Moving beyond hourly billing, we implement tiered packages: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(MAD)</w:t>
            </w:r>
          </w:p>
        </w:tc>
        <w:tc>
          <w:tcPr/>
          <w:p>
            <w:pPr>
              <w:pStyle w:val="Compact"/>
              <w:jc w:val="left"/>
            </w:pPr>
            <w:r>
              <w:t xml:space="preserve">Casablanca Market Fit</w:t>
            </w:r>
          </w:p>
        </w:tc>
      </w:tr>
      <w:tr>
        <w:tc>
          <w:tcPr/>
          <w:p>
            <w:pPr>
              <w:pStyle w:val="Compact"/>
              <w:jc w:val="left"/>
            </w:pPr>
            <w:r>
              <w:t xml:space="preserve">Essential Urban Survey</w:t>
            </w:r>
          </w:p>
        </w:tc>
        <w:tc>
          <w:tcPr/>
          <w:p>
            <w:pPr>
              <w:pStyle w:val="Compact"/>
              <w:jc w:val="left"/>
            </w:pPr>
            <w:r>
              <w:t xml:space="preserve">25,000-45,000</w:t>
            </w:r>
          </w:p>
        </w:tc>
        <w:tc>
          <w:tcPr/>
          <w:p>
            <w:pPr>
              <w:pStyle w:val="Compact"/>
              <w:jc w:val="left"/>
            </w:pPr>
            <w:r>
              <w:t xml:space="preserve">Small developers needing quick feasibility studies</w:t>
            </w:r>
          </w:p>
        </w:tc>
      </w:tr>
      <w:tr>
        <w:tc>
          <w:tcPr/>
          <w:p>
            <w:pPr>
              <w:pStyle w:val="Compact"/>
              <w:jc w:val="left"/>
            </w:pPr>
            <w:r>
              <w:t xml:space="preserve">Sustainable Project Suite</w:t>
            </w:r>
          </w:p>
        </w:tc>
        <w:tc>
          <w:tcPr/>
          <w:p>
            <w:pPr>
              <w:pStyle w:val="Compact"/>
              <w:jc w:val="left"/>
            </w:pPr>
            <w:r>
              <w:t xml:space="preserve">185,000-325,000</w:t>
            </w:r>
          </w:p>
        </w:tc>
        <w:tc>
          <w:tcPr/>
          <w:p>
            <w:pPr>
              <w:pStyle w:val="Compact"/>
              <w:jc w:val="left"/>
            </w:pPr>
            <w:r>
              <w:t xml:space="preserve">Middle-market developers targeting green certification</w:t>
            </w:r>
          </w:p>
        </w:tc>
      </w:tr>
      <w:tr>
        <w:tc>
          <w:tcPr/>
          <w:p>
            <w:pPr>
              <w:pStyle w:val="Compact"/>
              <w:jc w:val="left"/>
            </w:pPr>
            <w:r>
              <w:t xml:space="preserve">Casablanca Megaproject Accelerator</w:t>
            </w:r>
          </w:p>
        </w:tc>
        <w:tc>
          <w:tcPr/>
          <w:p>
            <w:pPr>
              <w:pStyle w:val="Compact"/>
              <w:jc w:val="left"/>
            </w:pPr>
            <w:r>
              <w:t xml:space="preserve">Negotiated (min. 850k)</w:t>
            </w:r>
          </w:p>
        </w:tc>
        <w:tc>
          <w:tcPr/>
          <w:p>
            <w:pPr>
              <w:pStyle w:val="Compact"/>
              <w:jc w:val="left"/>
            </w:pPr>
            <w:r>
              <w:t xml:space="preserve">Large municipal/foreign investor projects requiring full lifecycle management</w:t>
            </w:r>
          </w:p>
        </w:tc>
      </w:tr>
    </w:tbl>
    <w:bookmarkEnd w:id="25"/>
    <w:bookmarkStart w:id="26" w:name="place-promotion-hyper-local-engagement"/>
    <w:p>
      <w:pPr>
        <w:pStyle w:val="Heading3"/>
      </w:pPr>
      <w:r>
        <w:t xml:space="preserve">Place &amp; Promotion: Hyper-Local Engagement</w:t>
      </w:r>
    </w:p>
    <w:p>
      <w:pPr>
        <w:pStyle w:val="FirstParagraph"/>
      </w:pPr>
      <w:r>
        <w:t xml:space="preserve">We embed our presence within Morocco Casablanca's engineering ecosystem through:</w:t>
      </w:r>
    </w:p>
    <w:p>
      <w:pPr>
        <w:numPr>
          <w:ilvl w:val="0"/>
          <w:numId w:val="1004"/>
        </w:numPr>
        <w:pStyle w:val="Compact"/>
      </w:pPr>
      <w:r>
        <w:rPr>
          <w:bCs/>
          <w:b/>
        </w:rPr>
        <w:t xml:space="preserve">Physical Hub:</w:t>
      </w:r>
      <w:r>
        <w:t xml:space="preserve"> </w:t>
      </w:r>
      <w:r>
        <w:t xml:space="preserve">Establishing a Casablanca-based office in the newly developed Hay Mohammadi district (proximity to 85% of major construction sites)</w:t>
      </w:r>
    </w:p>
    <w:p>
      <w:pPr>
        <w:numPr>
          <w:ilvl w:val="0"/>
          <w:numId w:val="1004"/>
        </w:numPr>
        <w:pStyle w:val="Compact"/>
      </w:pPr>
      <w:r>
        <w:rPr>
          <w:bCs/>
          <w:b/>
        </w:rPr>
        <w:t xml:space="preserve">Local Partnerships:</w:t>
      </w:r>
      <w:r>
        <w:t xml:space="preserve"> </w:t>
      </w:r>
      <w:r>
        <w:t xml:space="preserve">Co-branded workshops with École Nationale d'Ingénieurs de Casablanca (ENIC) for talent pipeline</w:t>
      </w:r>
    </w:p>
    <w:p>
      <w:pPr>
        <w:numPr>
          <w:ilvl w:val="0"/>
          <w:numId w:val="1004"/>
        </w:numPr>
        <w:pStyle w:val="Compact"/>
      </w:pPr>
      <w:r>
        <w:rPr>
          <w:bCs/>
          <w:b/>
        </w:rPr>
        <w:t xml:space="preserve">Digital Localization:</w:t>
      </w:r>
      <w:r>
        <w:t xml:space="preserve"> </w:t>
      </w:r>
      <w:r>
        <w:t xml:space="preserve">Arabic/French SEO campaigns targeting "Civil Engineer Casablanca" and "Infrastructure Solutions Morocco"</w:t>
      </w:r>
    </w:p>
    <w:p>
      <w:pPr>
        <w:numPr>
          <w:ilvl w:val="0"/>
          <w:numId w:val="1004"/>
        </w:numPr>
        <w:pStyle w:val="Compact"/>
      </w:pPr>
      <w:r>
        <w:rPr>
          <w:bCs/>
          <w:b/>
        </w:rPr>
        <w:t xml:space="preserve">Industry Immersion:</w:t>
      </w:r>
      <w:r>
        <w:t xml:space="preserve"> </w:t>
      </w:r>
      <w:r>
        <w:t xml:space="preserve">Hosting quarterly "Casablanca Infrastructure Roundtables" at La Ville des Sciences venue</w:t>
      </w:r>
    </w:p>
    <w:bookmarkEnd w:id="26"/>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Casablanca office; Partner acquisition (ENIC, Moroccan Engineering Chamber)</w:t>
      </w:r>
    </w:p>
    <w:p>
      <w:pPr>
        <w:pStyle w:val="BodyText"/>
      </w:pPr>
      <w:r>
        <w:t xml:space="preserve">Q2 2024</w:t>
      </w:r>
    </w:p>
    <w:p>
      <w:pPr>
        <w:pStyle w:val="BodyText"/>
      </w:pPr>
      <w:r>
        <w:t xml:space="preserve">Digital campaign launch targeting "Civil Engineer Morocco" keywords; First Casablanca Infrastructure Roundtable</w:t>
      </w:r>
    </w:p>
    <w:p>
      <w:pPr>
        <w:pStyle w:val="BodyText"/>
      </w:pPr>
      <w:r>
        <w:t xml:space="preserve">Q3 2024</w:t>
      </w:r>
    </w:p>
    <w:p>
      <w:pPr>
        <w:pStyle w:val="BodyText"/>
      </w:pPr>
      <w:r>
        <w:t xml:space="preserve">Launch Coastal Resilience Package; Secure first municipal contract (Municipalité de Casablanca)</w:t>
      </w:r>
    </w:p>
    <w:p>
      <w:pPr>
        <w:pStyle w:val="BodyText"/>
      </w:pPr>
      <w:r>
        <w:t xml:space="preserve">Q4 2024</w:t>
      </w:r>
    </w:p>
    <w:p>
      <w:pPr>
        <w:pStyle w:val="BodyText"/>
      </w:pPr>
      <w:r>
        <w:t xml:space="preserve">National Green Building Service certification; Target 30% lead conversion rate</w:t>
      </w:r>
    </w:p>
    <w:bookmarkEnd w:id="28"/>
    <w:bookmarkStart w:id="29" w:name="X5c0d114a753c334bfc8a00f010f2166fd1bbf11"/>
    <w:p>
      <w:pPr>
        <w:pStyle w:val="Heading2"/>
      </w:pPr>
      <w:r>
        <w:t xml:space="preserve">Budget Allocation (Year 1: Total MAD 1,850,000)</w:t>
      </w:r>
    </w:p>
    <w:p>
      <w:pPr>
        <w:numPr>
          <w:ilvl w:val="0"/>
          <w:numId w:val="1005"/>
        </w:numPr>
        <w:pStyle w:val="Compact"/>
      </w:pPr>
      <w:r>
        <w:t xml:space="preserve">Local Marketing &amp; Events: 45% (MAD 832,500) – Casablanca-focused campaigns and physical presence</w:t>
      </w:r>
    </w:p>
    <w:p>
      <w:pPr>
        <w:numPr>
          <w:ilvl w:val="0"/>
          <w:numId w:val="1005"/>
        </w:numPr>
        <w:pStyle w:val="Compact"/>
      </w:pPr>
      <w:r>
        <w:t xml:space="preserve">Digital Infrastructure: 30% (MAD 555,000) – Arabic/French SEO, localized CRM</w:t>
      </w:r>
    </w:p>
    <w:p>
      <w:pPr>
        <w:numPr>
          <w:ilvl w:val="0"/>
          <w:numId w:val="1005"/>
        </w:numPr>
        <w:pStyle w:val="Compact"/>
      </w:pPr>
      <w:r>
        <w:t xml:space="preserve">Partnership Development: 15% (MAD 277,500) – ENIC collaboration &amp; industry alliances</w:t>
      </w:r>
    </w:p>
    <w:p>
      <w:pPr>
        <w:numPr>
          <w:ilvl w:val="0"/>
          <w:numId w:val="1005"/>
        </w:numPr>
        <w:pStyle w:val="Compact"/>
      </w:pPr>
      <w:r>
        <w:t xml:space="preserve">Contingency: 10% (MAD 185,000)</w:t>
      </w:r>
    </w:p>
    <w:bookmarkEnd w:id="29"/>
    <w:bookmarkStart w:id="30" w:name="evaluation-control-mechanisms"/>
    <w:p>
      <w:pPr>
        <w:pStyle w:val="Heading2"/>
      </w:pPr>
      <w:r>
        <w:t xml:space="preserve">Evaluation &amp; Control Mechanisms</w:t>
      </w:r>
    </w:p>
    <w:p>
      <w:pPr>
        <w:pStyle w:val="FirstParagraph"/>
      </w:pPr>
      <w:r>
        <w:t xml:space="preserve">We track success through Morocco Casablanca-specific KPIs:</w:t>
      </w:r>
    </w:p>
    <w:p>
      <w:pPr>
        <w:numPr>
          <w:ilvl w:val="0"/>
          <w:numId w:val="1006"/>
        </w:numPr>
        <w:pStyle w:val="Compact"/>
      </w:pPr>
      <w:r>
        <w:rPr>
          <w:bCs/>
          <w:b/>
        </w:rPr>
        <w:t xml:space="preserve">Market Share:</w:t>
      </w:r>
      <w:r>
        <w:t xml:space="preserve"> </w:t>
      </w:r>
      <w:r>
        <w:t xml:space="preserve">Quarterly tracking via government construction permits (Ministry of Public Works data)</w:t>
      </w:r>
    </w:p>
    <w:p>
      <w:pPr>
        <w:numPr>
          <w:ilvl w:val="0"/>
          <w:numId w:val="1006"/>
        </w:numPr>
        <w:pStyle w:val="Compact"/>
      </w:pPr>
      <w:r>
        <w:rPr>
          <w:bCs/>
          <w:b/>
        </w:rPr>
        <w:t xml:space="preserve">Casablanca Lead Quality:</w:t>
      </w:r>
      <w:r>
        <w:t xml:space="preserve"> </w:t>
      </w:r>
      <w:r>
        <w:t xml:space="preserve">80%+ lead-to-client conversion rate</w:t>
      </w:r>
    </w:p>
    <w:p>
      <w:pPr>
        <w:numPr>
          <w:ilvl w:val="0"/>
          <w:numId w:val="1006"/>
        </w:numPr>
        <w:pStyle w:val="Compact"/>
      </w:pPr>
      <w:r>
        <w:rPr>
          <w:bCs/>
          <w:b/>
        </w:rPr>
        <w:t xml:space="preserve">Sustainability Impact:</w:t>
      </w:r>
      <w:r>
        <w:t xml:space="preserve"> </w:t>
      </w:r>
      <w:r>
        <w:t xml:space="preserve">Number of ASM-certified projects delivered in Casablanca</w:t>
      </w:r>
    </w:p>
    <w:p>
      <w:pPr>
        <w:numPr>
          <w:ilvl w:val="0"/>
          <w:numId w:val="1006"/>
        </w:numPr>
        <w:pStyle w:val="Compact"/>
      </w:pPr>
      <w:r>
        <w:rPr>
          <w:bCs/>
          <w:b/>
        </w:rPr>
        <w:t xml:space="preserve">Brand Perception:</w:t>
      </w:r>
      <w:r>
        <w:t xml:space="preserve"> </w:t>
      </w:r>
      <w:r>
        <w:t xml:space="preserve">Annual "Top Civil Engineer in Casablanca" survey (partnering with Morocco Business Review)</w:t>
      </w:r>
    </w:p>
    <w:bookmarkEnd w:id="30"/>
    <w:bookmarkStart w:id="31" w:name="X1fdcc16423db181c1f0f1a81b85019bfbde8bbc"/>
    <w:p>
      <w:pPr>
        <w:pStyle w:val="Heading2"/>
      </w:pPr>
      <w:r>
        <w:t xml:space="preserve">Conclusion: The Future of Civil Engineering in Morocco Casablanca</w:t>
      </w:r>
    </w:p>
    <w:p>
      <w:pPr>
        <w:pStyle w:val="FirstParagraph"/>
      </w:pPr>
      <w:r>
        <w:t xml:space="preserve">This Marketing Plan transforms the role of the Civil Engineer from technical service provider to strategic urban development partner. By anchoring our strategy exclusively in Morocco Casablanca's infrastructure evolution—addressing its coastal vulnerabilities, urban density challenges, and sustainability mandates—we position ourselves as indispensable to the city's growth narrative. Our integrated approach ensures every marketing initiative directly supports the local need for engineering excellence that respects Moroccan context while embracing global innovation. As Casablanca continues its transformation from a historic port to Africa's next smart city hub, our Marketing Plan delivers not just business growth, but tangible contribution to Morocco's architectural and infrastructural legacy.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Marketing Plan for Morocco Casablanca</dc:title>
  <dc:creator/>
  <dc:language>en</dc:language>
  <cp:keywords/>
  <dcterms:created xsi:type="dcterms:W3CDTF">2026-07-23T09:44:58Z</dcterms:created>
  <dcterms:modified xsi:type="dcterms:W3CDTF">2026-07-23T09:44:58Z</dcterms:modified>
</cp:coreProperties>
</file>

<file path=docProps/custom.xml><?xml version="1.0" encoding="utf-8"?>
<Properties xmlns="http://schemas.openxmlformats.org/officeDocument/2006/custom-properties" xmlns:vt="http://schemas.openxmlformats.org/officeDocument/2006/docPropsVTypes"/>
</file>