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c675e944ed47b5a0457fa33d665eea4501e3d33"/>
    <w:p>
      <w:pPr>
        <w:pStyle w:val="Heading1"/>
      </w:pPr>
      <w:r>
        <w:t xml:space="preserve">Strategic Marketing Plan: Positioning Civil Engineering Excellence in the United Arab Emirates Dubai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civil engineering service provider within Dubai, United Arab Emirates. Recognizing the UAE's unprecedented infrastructure development trajectory—driven by Vision 2030, Expo 2020 legacy projects, and Dubai's ongoing urban transformation—this plan leverages Dubai's unique market dynamics to position our Civil Engineer services as indispensable for sustainable, innovative, and compliant project delivery. With Dubai’s construction market valued at over $100 billion annually and a relentless pace of development spanning high-rises, smart city infrastructure, and mega-projects like NEOM connectivity corridors, this plan ensures we capture significant market share through hyper-localized expertise.</w:t>
      </w:r>
    </w:p>
    <w:bookmarkEnd w:id="20"/>
    <w:bookmarkStart w:id="21" w:name="X09b6f1c072e6defc268216f67bc7f3bb267696e"/>
    <w:p>
      <w:pPr>
        <w:pStyle w:val="Heading2"/>
      </w:pPr>
      <w:r>
        <w:t xml:space="preserve">Market Analysis: The Dubai Construction Imperative</w:t>
      </w:r>
    </w:p>
    <w:p>
      <w:pPr>
        <w:pStyle w:val="FirstParagraph"/>
      </w:pPr>
      <w:r>
        <w:t xml:space="preserve">Dubai’s construction sector is not merely growing—it is evolving with global standards. The UAE Government's strategic initiatives, including the Dubai Clean Energy Strategy 2050 and Green Building Regulations, mandate sustainable engineering practices. Civil Engineers in Dubai must navigate complex regulatory frameworks (e.g., Dubai Municipality approvals, MOI licensing), extreme environmental conditions (high temperatures, sandstorms), and a diverse workforce. Competitors often lack deep local knowledge of these nuances. Our marketing strategy directly addresses this gap by emphasizing our team’s UAE-specific certifications, desert-adapted engineering solutions, and seamless alignment with Dubai’s regulatory ecosystem—ensuring projects avoid costly delays.</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p>
    <w:p>
      <w:pPr>
        <w:numPr>
          <w:ilvl w:val="0"/>
          <w:numId w:val="1001"/>
        </w:numPr>
        <w:pStyle w:val="Compact"/>
      </w:pPr>
      <w:r>
        <w:rPr>
          <w:bCs/>
          <w:b/>
        </w:rPr>
        <w:t xml:space="preserve">Real Estate Developers:</w:t>
      </w:r>
      <w:r>
        <w:t xml:space="preserve"> </w:t>
      </w:r>
      <w:r>
        <w:t xml:space="preserve">(e.g., Emaar, DAMAC) prioritizing rapid project delivery within Dubai's competitive luxury market.</w:t>
      </w:r>
    </w:p>
    <w:p>
      <w:pPr>
        <w:numPr>
          <w:ilvl w:val="0"/>
          <w:numId w:val="1001"/>
        </w:numPr>
        <w:pStyle w:val="Compact"/>
      </w:pPr>
      <w:r>
        <w:rPr>
          <w:bCs/>
          <w:b/>
        </w:rPr>
        <w:t xml:space="preserve">Government Entities:</w:t>
      </w:r>
      <w:r>
        <w:t xml:space="preserve"> </w:t>
      </w:r>
      <w:r>
        <w:t xml:space="preserve">(e.g., Dubai Land Department, Roads and Transport Authority) requiring adherence to strict sustainability mandates.</w:t>
      </w:r>
    </w:p>
    <w:p>
      <w:pPr>
        <w:numPr>
          <w:ilvl w:val="0"/>
          <w:numId w:val="1001"/>
        </w:numPr>
        <w:pStyle w:val="Compact"/>
      </w:pPr>
      <w:r>
        <w:rPr>
          <w:bCs/>
          <w:b/>
        </w:rPr>
        <w:t xml:space="preserve">Megaproject Investors:</w:t>
      </w:r>
      <w:r>
        <w:t xml:space="preserve"> </w:t>
      </w:r>
      <w:r>
        <w:t xml:space="preserve">Seeking Civil Engineers experienced in complex infrastructure like the Dubai Metro expansion or Sustainable City developments.</w:t>
      </w:r>
    </w:p>
    <w:p>
      <w:pPr>
        <w:pStyle w:val="FirstParagraph"/>
      </w:pPr>
      <w:r>
        <w:t xml:space="preserve">Our core value proposition: "Precision Engineering for Dubai’s Future—Delivering Projects On-Time, Within Budget, and Fully Compliant with UAE Standards." This positions us as a risk-mitigation partner rather than a vendor, directly addressing Dubai developers’ top pain points: regulatory hurdles and project delays.</w:t>
      </w:r>
    </w:p>
    <w:bookmarkEnd w:id="22"/>
    <w:bookmarkStart w:id="23" w:name="marketing-strategy-dubai-first-tactics"/>
    <w:p>
      <w:pPr>
        <w:pStyle w:val="Heading2"/>
      </w:pPr>
      <w:r>
        <w:t xml:space="preserve">Marketing Strategy: Dubai-First Tactics</w:t>
      </w:r>
    </w:p>
    <w:p>
      <w:pPr>
        <w:pStyle w:val="FirstParagraph"/>
      </w:pPr>
      <w:r>
        <w:rPr>
          <w:bCs/>
          <w:b/>
        </w:rPr>
        <w:t xml:space="preserve">1. Hyper-Local Digital Presence:</w:t>
      </w:r>
      <w:r>
        <w:t xml:space="preserve"> </w:t>
      </w:r>
      <w:r>
        <w:t xml:space="preserve">Launch a bilingual (Arabic/English) website optimized for UAE mobile users, featuring case studies of completed Dubai projects (e.g., "Red Sea Project Civil Engineering Support," "Downtown Dubai Sustainable Drainage System"). SEO targets keywords like "licensed Civil Engineer in Dubai," "Dubai construction compliance consultant."</w:t>
      </w:r>
    </w:p>
    <w:p>
      <w:pPr>
        <w:pStyle w:val="BodyText"/>
      </w:pPr>
      <w:r>
        <w:rPr>
          <w:bCs/>
          <w:b/>
        </w:rPr>
        <w:t xml:space="preserve">2. Regulatory Authority Partnerships:</w:t>
      </w:r>
      <w:r>
        <w:t xml:space="preserve"> </w:t>
      </w:r>
      <w:r>
        <w:t xml:space="preserve">Forge alliances with Dubai Municipality and the Ministry of Infrastructure to co-host workshops on emerging UAE engineering regulations (e.g., new seismic codes post-Expo 2020). This builds credibility as a trusted industry advisor.</w:t>
      </w:r>
    </w:p>
    <w:p>
      <w:pPr>
        <w:pStyle w:val="BodyText"/>
      </w:pPr>
      <w:r>
        <w:rPr>
          <w:bCs/>
          <w:b/>
        </w:rPr>
        <w:t xml:space="preserve">3. Data-Driven Content Marketing:</w:t>
      </w:r>
      <w:r>
        <w:t xml:space="preserve"> </w:t>
      </w:r>
      <w:r>
        <w:t xml:space="preserve">Publish quarterly "Dubai Construction Insights" reports analyzing market trends, leveraging Dubai Statistics Centre data. Topics include "How Sandstorm Mitigation Impacts Project Timelines in Dubai" or "ROI of Green Building Compliance for Real Estate Developers."</w:t>
      </w:r>
    </w:p>
    <w:p>
      <w:pPr>
        <w:pStyle w:val="BodyText"/>
      </w:pPr>
      <w:r>
        <w:rPr>
          <w:bCs/>
          <w:b/>
        </w:rPr>
        <w:t xml:space="preserve">4. Targeted LinkedIn Campaigns:</w:t>
      </w:r>
      <w:r>
        <w:t xml:space="preserve"> </w:t>
      </w:r>
      <w:r>
        <w:t xml:space="preserve">Geofenced ads targeting decision-makers at UAE construction firms, highlighting our team’s successful completion of projects like the Dubai Creek Tower foundations or Al Maktoum International Airport expansions.</w:t>
      </w:r>
    </w:p>
    <w:bookmarkEnd w:id="23"/>
    <w:bookmarkStart w:id="24" w:name="tactical-implementation-timeline"/>
    <w:p>
      <w:pPr>
        <w:pStyle w:val="Heading2"/>
      </w:pPr>
      <w:r>
        <w:t xml:space="preserve">Tactical Implementation Timeline</w:t>
      </w:r>
    </w:p>
    <w:p>
      <w:pPr>
        <w:pStyle w:val="FirstParagraph"/>
      </w:pPr>
      <w:r>
        <w:t xml:space="preserve">Quarter</w:t>
      </w:r>
    </w:p>
    <w:p>
      <w:pPr>
        <w:pStyle w:val="BodyText"/>
      </w:pPr>
      <w:r>
        <w:t xml:space="preserve">Key Activities</w:t>
      </w:r>
    </w:p>
    <w:p>
      <w:pPr>
        <w:pStyle w:val="BodyText"/>
      </w:pPr>
      <w:r>
        <w:t xml:space="preserve">UAE-Specific Focus</w:t>
      </w:r>
    </w:p>
    <w:p>
      <w:pPr>
        <w:pStyle w:val="BodyText"/>
      </w:pPr>
      <w:r>
        <w:t xml:space="preserve">Q1 2024</w:t>
      </w:r>
    </w:p>
    <w:p>
      <w:pPr>
        <w:pStyle w:val="BodyText"/>
      </w:pPr>
      <w:r>
        <w:t xml:space="preserve">Landing page launch, Dubai Municipality partnership MOU, SEO audit for UAE keywords.</w:t>
      </w:r>
    </w:p>
    <w:p>
      <w:pPr>
        <w:pStyle w:val="BodyText"/>
      </w:pPr>
      <w:r>
        <w:t xml:space="preserve">Localization: Arabic language integration; reference to Dubai’s new "Construction 5.0" initiative.</w:t>
      </w:r>
    </w:p>
    <w:p>
      <w:pPr>
        <w:pStyle w:val="BodyText"/>
      </w:pPr>
      <w:r>
        <w:t xml:space="preserve">Q2 2024</w:t>
      </w:r>
    </w:p>
    <w:p>
      <w:pPr>
        <w:pStyle w:val="BodyText"/>
      </w:pPr>
      <w:r>
        <w:t xml:space="preserve">First Dubai-specific case study webinar, LinkedIn campaign targeting RTA procurement leads.</w:t>
      </w:r>
    </w:p>
    <w:p>
      <w:pPr>
        <w:pStyle w:val="BodyText"/>
      </w:pPr>
      <w:r>
        <w:t xml:space="preserve">Focus: Highlighting how our Civil Engineer solutions reduced delays by 30% in a Downtown Dubai project.</w:t>
      </w:r>
    </w:p>
    <w:p>
      <w:pPr>
        <w:pStyle w:val="BodyText"/>
      </w:pPr>
      <w:r>
        <w:t xml:space="preserve">Q3 2024</w:t>
      </w:r>
    </w:p>
    <w:p>
      <w:pPr>
        <w:pStyle w:val="BodyText"/>
      </w:pPr>
      <w:r>
        <w:t xml:space="preserve">Publish "Dubai Green Building Compliance Guide" (co-branded with Dubai Sustainable City).</w:t>
      </w:r>
    </w:p>
    <w:p>
      <w:pPr>
        <w:pStyle w:val="BodyText"/>
      </w:pPr>
      <w:r>
        <w:t xml:space="preserve">Alignment: Directly supports UAE’s 75% renewable energy target by 2050.</w:t>
      </w:r>
    </w:p>
    <w:p>
      <w:pPr>
        <w:pStyle w:val="BodyText"/>
      </w:pPr>
      <w:r>
        <w:t xml:space="preserve">Q4 2024</w:t>
      </w:r>
    </w:p>
    <w:p>
      <w:pPr>
        <w:pStyle w:val="BodyText"/>
      </w:pPr>
      <w:r>
        <w:t xml:space="preserve">Participate in Dubai Construction Week exhibition; launch referral program for existing government clients.</w:t>
      </w:r>
    </w:p>
    <w:p>
      <w:pPr>
        <w:pStyle w:val="BodyText"/>
      </w:pPr>
      <w:r>
        <w:rPr>
          <w:bCs/>
          <w:b/>
        </w:rPr>
        <w:t xml:space="preserve">Focus: Showcasing Civil Engineer expertise during UAE’s largest construction event.</w:t>
      </w:r>
    </w:p>
    <w:bookmarkEnd w:id="24"/>
    <w:bookmarkStart w:id="25" w:name="budget-allocation-roi-metrics"/>
    <w:p>
      <w:pPr>
        <w:pStyle w:val="Heading2"/>
      </w:pPr>
      <w:r>
        <w:t xml:space="preserve">Budget Allocation &amp; ROI Metrics</w:t>
      </w:r>
    </w:p>
    <w:p>
      <w:pPr>
        <w:pStyle w:val="FirstParagraph"/>
      </w:pPr>
      <w:r>
        <w:t xml:space="preserve">Total Investment: AED 1.5 Million (Year 1). Allocation prioritizes digital channels proven in Dubai:</w:t>
      </w:r>
    </w:p>
    <w:p>
      <w:pPr>
        <w:numPr>
          <w:ilvl w:val="0"/>
          <w:numId w:val="1002"/>
        </w:numPr>
        <w:pStyle w:val="Compact"/>
      </w:pPr>
      <w:r>
        <w:t xml:space="preserve">35% Digital Marketing (SEO, LinkedIn Ads, localized content)</w:t>
      </w:r>
    </w:p>
    <w:p>
      <w:pPr>
        <w:numPr>
          <w:ilvl w:val="0"/>
          <w:numId w:val="1002"/>
        </w:numPr>
        <w:pStyle w:val="Compact"/>
      </w:pPr>
      <w:r>
        <w:t xml:space="preserve">25% Strategic Partnerships (Dubai Municipality workshops)</w:t>
      </w:r>
    </w:p>
    <w:p>
      <w:pPr>
        <w:numPr>
          <w:ilvl w:val="0"/>
          <w:numId w:val="1002"/>
        </w:numPr>
        <w:pStyle w:val="Compact"/>
      </w:pPr>
      <w:r>
        <w:t xml:space="preserve">20% Event Participation (Dubai Construction Week)</w:t>
      </w:r>
    </w:p>
    <w:p>
      <w:pPr>
        <w:numPr>
          <w:ilvl w:val="0"/>
          <w:numId w:val="1002"/>
        </w:numPr>
        <w:pStyle w:val="Compact"/>
      </w:pPr>
      <w:r>
        <w:t xml:space="preserve">15% Content Development (Case studies, regulatory guides)</w:t>
      </w:r>
    </w:p>
    <w:p>
      <w:pPr>
        <w:numPr>
          <w:ilvl w:val="0"/>
          <w:numId w:val="1002"/>
        </w:numPr>
        <w:pStyle w:val="Compact"/>
      </w:pPr>
      <w:r>
        <w:t xml:space="preserve">5% Analytics &amp; Optimization</w:t>
      </w:r>
    </w:p>
    <w:p>
      <w:pPr>
        <w:pStyle w:val="FirstParagraph"/>
      </w:pPr>
      <w:r>
        <w:rPr>
          <w:bCs/>
          <w:b/>
        </w:rPr>
        <w:t xml:space="preserve">Measurable ROI:</w:t>
      </w:r>
    </w:p>
    <w:p>
      <w:pPr>
        <w:numPr>
          <w:ilvl w:val="0"/>
          <w:numId w:val="1003"/>
        </w:numPr>
        <w:pStyle w:val="Compact"/>
      </w:pPr>
      <w:r>
        <w:t xml:space="preserve">Acquire 12+ high-value contracts with Dubai-based developers within 18 months.</w:t>
      </w:r>
    </w:p>
    <w:p>
      <w:pPr>
        <w:numPr>
          <w:ilvl w:val="0"/>
          <w:numId w:val="1003"/>
        </w:numPr>
        <w:pStyle w:val="Compact"/>
      </w:pPr>
      <w:r>
        <w:t xml:space="preserve">Achieve 40% lead conversion rate from UAE-targeted digital campaigns (vs. industry avg. of 25%).</w:t>
      </w:r>
    </w:p>
    <w:p>
      <w:pPr>
        <w:numPr>
          <w:ilvl w:val="0"/>
          <w:numId w:val="1003"/>
        </w:numPr>
        <w:pStyle w:val="Compact"/>
      </w:pPr>
      <w:r>
        <w:t xml:space="preserve">Secure 3 government partnership agreements by Q4 2024.</w:t>
      </w:r>
    </w:p>
    <w:bookmarkEnd w:id="25"/>
    <w:bookmarkStart w:id="26" w:name="X0c78fc68c8b01edf41dab9f9ea84080ad529f2c"/>
    <w:p>
      <w:pPr>
        <w:pStyle w:val="Heading2"/>
      </w:pPr>
      <w:r>
        <w:t xml:space="preserve">Why This Plan Succeeds in Dubai, United Arab Emirates</w:t>
      </w:r>
    </w:p>
    <w:p>
      <w:pPr>
        <w:pStyle w:val="FirstParagraph"/>
      </w:pPr>
      <w:r>
        <w:t xml:space="preserve">This Marketing Plan is not generic—it is engineered for the UAE context. Unlike global competitors who overlook Dubai’s unique regulatory and environmental landscape, we embed "Dubai" into every strategy:</w:t>
      </w:r>
      <w:r>
        <w:t xml:space="preserve"> </w:t>
      </w:r>
      <w:r>
        <w:t xml:space="preserve">• Our content references UAE government policies (e.g., "How our Civil Engineer services align with Dubai Municipality’s 2023 Engineering Guidelines").</w:t>
      </w:r>
      <w:r>
        <w:t xml:space="preserve"> </w:t>
      </w:r>
      <w:r>
        <w:t xml:space="preserve">• We prioritize Arabic-language communication for deeper client trust within the Emirati business culture.</w:t>
      </w:r>
      <w:r>
        <w:t xml:space="preserve"> </w:t>
      </w:r>
      <w:r>
        <w:t xml:space="preserve">• Every campaign metrics are benchmarked against Dubai-specific KPIs (e.g., project timeline adherence in extreme weather).</w:t>
      </w:r>
      <w:r>
        <w:t xml:space="preserve"> </w:t>
      </w:r>
      <w:r>
        <w:t xml:space="preserve">Civil Engineers in Dubai face immense pressure to deliver flawlessly amid rapid urbanization. This Marketing Plan transforms our service into the strategic solution developers and government entities actively seek—ensuring we don’t just sell engineering services, but become the trusted partner enabling Dubai’s next generation of infrastructure.</w:t>
      </w:r>
    </w:p>
    <w:bookmarkEnd w:id="26"/>
    <w:bookmarkStart w:id="27" w:name="conclusion"/>
    <w:p>
      <w:pPr>
        <w:pStyle w:val="Heading2"/>
      </w:pPr>
      <w:r>
        <w:t xml:space="preserve">Conclusion</w:t>
      </w:r>
    </w:p>
    <w:p>
      <w:pPr>
        <w:pStyle w:val="FirstParagraph"/>
      </w:pPr>
      <w:r>
        <w:t xml:space="preserve">The United Arab Emirates Dubai market demands more than technical expertise; it requires a Marketing Plan rooted in local insight. This document positions our Civil Engineer services as the definitive choice for projects demanding compliance, speed, and innovation within Dubai’s dynamic ecosystem. By embedding "Dubai" into every tactic—from regulatory partnerships to Arabic content—we secure sustainable growth in one of the world’s most competitive and ambitious construction hubs. The future of infrastructure isn’t built by generic providers; it’s built by those who understand the heartbeat of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Dubai, United Arab Emirates</dc:title>
  <dc:creator/>
  <dc:language>en</dc:language>
  <cp:keywords/>
  <dcterms:created xsi:type="dcterms:W3CDTF">2026-07-23T20:57:27Z</dcterms:created>
  <dcterms:modified xsi:type="dcterms:W3CDTF">2026-07-23T20:57:27Z</dcterms:modified>
</cp:coreProperties>
</file>

<file path=docProps/custom.xml><?xml version="1.0" encoding="utf-8"?>
<Properties xmlns="http://schemas.openxmlformats.org/officeDocument/2006/custom-properties" xmlns:vt="http://schemas.openxmlformats.org/officeDocument/2006/docPropsVTypes"/>
</file>