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London</w:t>
      </w:r>
    </w:p>
    <w:bookmarkStart w:id="32" w:name="X7364ad5132951650b825e3071e50ae15732b4a4"/>
    <w:p>
      <w:pPr>
        <w:pStyle w:val="Heading1"/>
      </w:pPr>
      <w:r>
        <w:t xml:space="preserve">Strategic Marketing Plan for Civil Engineering Talent Acquisition in the United Kingdom London Market</w:t>
      </w:r>
    </w:p>
    <w:bookmarkStart w:id="20" w:name="executive-summary"/>
    <w:p>
      <w:pPr>
        <w:pStyle w:val="Heading2"/>
      </w:pPr>
      <w:r>
        <w:t xml:space="preserve">Executive Summary</w:t>
      </w:r>
    </w:p>
    <w:p>
      <w:pPr>
        <w:pStyle w:val="FirstParagraph"/>
      </w:pPr>
      <w:r>
        <w:t xml:space="preserve">This comprehensive Marketing Plan outlines a targeted strategy to attract, retain, and develop top-tier Civil Engineer talent within the United Kingdom London market. Recognizing the critical infrastructure demands of Greater London—including major projects like HS2 Phase 1, Thames Tideway Tunnel, and the ongoing redevelopment of East London—the plan addresses acute talent shortages impacting project delivery timelines and quality standards. With London’s construction sector projected to grow by 4.2% annually (UK Construction Week, 2023), securing skilled Civil Engineers is not merely advantageous but essential for operational excellence in the United Kingdom capital.</w:t>
      </w:r>
    </w:p>
    <w:bookmarkEnd w:id="20"/>
    <w:bookmarkStart w:id="21" w:name="X113581c7f006d4d9ba1fd05cfd8ecff80604d0a"/>
    <w:p>
      <w:pPr>
        <w:pStyle w:val="Heading2"/>
      </w:pPr>
      <w:r>
        <w:t xml:space="preserve">Market Analysis: The Civil Engineering Landscape in London</w:t>
      </w:r>
    </w:p>
    <w:p>
      <w:pPr>
        <w:pStyle w:val="FirstParagraph"/>
      </w:pPr>
      <w:r>
        <w:t xml:space="preserve">The United Kingdom London market faces a persistent deficit of qualified Civil Engineers, with 68% of construction firms reporting difficulty filling senior engineering roles (CIC, 2023). This shortage stems from several factors: accelerated infrastructure projects post-Brexit, heightened sustainability mandates under the London Plan 2021, and increased competition for talent from global firms. Crucially, London’s unique context demands Civil Engineers with expertise in complex urban environments—managing historic structures, navigating dense underground networks (e.g., Tube lines), and adhering to stringent environmental regulations like the Ultra Low Emission Zone (ULEZ).</w:t>
      </w:r>
    </w:p>
    <w:p>
      <w:pPr>
        <w:pStyle w:val="BodyText"/>
      </w:pPr>
      <w:r>
        <w:t xml:space="preserve">Competitive dynamics are intensifying. Major consultancies like Arup, Mott MacDonald, and Buro Happold dominate the London Civil Engineering landscape, offering high-profile projects but often struggling with retention due to burnout risks and limited career progression paths. Smaller firms lack resources for effective talent branding, creating a market gap our strategy aims to fill through hyper-localized marketing.</w:t>
      </w:r>
    </w:p>
    <w:bookmarkEnd w:id="21"/>
    <w:bookmarkStart w:id="22" w:name="Xa1f6600910f957be1a2d1ed59881584a4a18455"/>
    <w:p>
      <w:pPr>
        <w:pStyle w:val="Heading2"/>
      </w:pPr>
      <w:r>
        <w:t xml:space="preserve">Target Audience: Defining Our Civil Engineer Persona</w:t>
      </w:r>
    </w:p>
    <w:p>
      <w:pPr>
        <w:pStyle w:val="FirstParagraph"/>
      </w:pPr>
      <w:r>
        <w:t xml:space="preserve">Our primary audience comprises two segments within the United Kingdom London Civil Engineering ecosystem:</w:t>
      </w:r>
    </w:p>
    <w:p>
      <w:pPr>
        <w:numPr>
          <w:ilvl w:val="0"/>
          <w:numId w:val="1001"/>
        </w:numPr>
        <w:pStyle w:val="Compact"/>
      </w:pPr>
      <w:r>
        <w:rPr>
          <w:bCs/>
          <w:b/>
        </w:rPr>
        <w:t xml:space="preserve">Semi-Senior Engineers (3-8 years experience):</w:t>
      </w:r>
      <w:r>
        <w:t xml:space="preserve"> </w:t>
      </w:r>
      <w:r>
        <w:t xml:space="preserve">Seeking meaningful projects in London with clear pathways to chartered status (CEng), competitive remuneration (£50k–£75k), and work-life balance. They prioritize employers committed to BIM Level 2 compliance and carbon-neutral design.</w:t>
      </w:r>
    </w:p>
    <w:p>
      <w:pPr>
        <w:numPr>
          <w:ilvl w:val="0"/>
          <w:numId w:val="1001"/>
        </w:numPr>
        <w:pStyle w:val="Compact"/>
      </w:pPr>
      <w:r>
        <w:rPr>
          <w:bCs/>
          <w:b/>
        </w:rPr>
        <w:t xml:space="preserve">Sustainability-Driven Graduates (0-2 years):</w:t>
      </w:r>
      <w:r>
        <w:t xml:space="preserve"> </w:t>
      </w:r>
      <w:r>
        <w:t xml:space="preserve">New graduates from UK universities (e.g., UCL, Imperial College London) seeking apprenticeships with firms actively contributing to London’s Climate Action Plan. They value mentorship, digital upskilling (e.g., AI in structural analysis), and community impact.</w:t>
      </w:r>
    </w:p>
    <w:p>
      <w:pPr>
        <w:pStyle w:val="FirstParagraph"/>
      </w:pPr>
      <w:r>
        <w:t xml:space="preserve">Secondary audiences include London-based developers (e.g., Lendlease, Berkeley Group) and public sector bodies like Transport for London (TfL), who influence hiring decisions through contract requirements.</w:t>
      </w:r>
    </w:p>
    <w:bookmarkEnd w:id="22"/>
    <w:bookmarkStart w:id="23" w:name="marketing-objectives"/>
    <w:p>
      <w:pPr>
        <w:pStyle w:val="Heading2"/>
      </w:pPr>
      <w:r>
        <w:t xml:space="preserve">Marketing Objectives</w:t>
      </w:r>
    </w:p>
    <w:p>
      <w:pPr>
        <w:numPr>
          <w:ilvl w:val="0"/>
          <w:numId w:val="1002"/>
        </w:numPr>
        <w:pStyle w:val="Compact"/>
      </w:pPr>
      <w:r>
        <w:t xml:space="preserve">Reduce time-to-hire for Civil Engineers by 35% within 18 months through targeted employer branding.</w:t>
      </w:r>
    </w:p>
    <w:p>
      <w:pPr>
        <w:numPr>
          <w:ilvl w:val="0"/>
          <w:numId w:val="1002"/>
        </w:numPr>
        <w:pStyle w:val="Compact"/>
      </w:pPr>
      <w:r>
        <w:t xml:space="preserve">Achieve a 40% increase in qualified London-based applications from underrepresented demographics (women, BAME engineers).</w:t>
      </w:r>
    </w:p>
    <w:bookmarkEnd w:id="23"/>
    <w:bookmarkStart w:id="28" w:name="marketing-mix-strategy-4ps"/>
    <w:p>
      <w:pPr>
        <w:pStyle w:val="Heading2"/>
      </w:pPr>
      <w:r>
        <w:t xml:space="preserve">Marketing Mix Strategy (4Ps)</w:t>
      </w:r>
    </w:p>
    <w:bookmarkStart w:id="24" w:name="Xc8297001afb60b655a85a30558cd0fb5f830bec"/>
    <w:p>
      <w:pPr>
        <w:pStyle w:val="Heading3"/>
      </w:pPr>
      <w:r>
        <w:t xml:space="preserve">Product: The Civil Engineer Value Proposition</w:t>
      </w:r>
    </w:p>
    <w:p>
      <w:pPr>
        <w:pStyle w:val="FirstParagraph"/>
      </w:pPr>
      <w:r>
        <w:t xml:space="preserve">We reframe the role of a Civil Engineer in United Kingdom London beyond technical delivery. Our offering includes:</w:t>
      </w:r>
    </w:p>
    <w:p>
      <w:pPr>
        <w:numPr>
          <w:ilvl w:val="0"/>
          <w:numId w:val="1003"/>
        </w:numPr>
        <w:pStyle w:val="Compact"/>
      </w:pPr>
      <w:r>
        <w:rPr>
          <w:bCs/>
          <w:b/>
        </w:rPr>
        <w:t xml:space="preserve">Project Portfolio:</w:t>
      </w:r>
      <w:r>
        <w:t xml:space="preserve"> </w:t>
      </w:r>
      <w:r>
        <w:t xml:space="preserve">Access to high-impact, award-winning projects (e.g., regeneration of Queen Elizabeth Olympic Park sites, Crossrail 2 feasibility studies).</w:t>
      </w:r>
    </w:p>
    <w:p>
      <w:pPr>
        <w:numPr>
          <w:ilvl w:val="0"/>
          <w:numId w:val="1003"/>
        </w:numPr>
        <w:pStyle w:val="Compact"/>
      </w:pPr>
      <w:r>
        <w:rPr>
          <w:bCs/>
          <w:b/>
        </w:rPr>
        <w:t xml:space="preserve">Sustainability Integration:</w:t>
      </w:r>
      <w:r>
        <w:t xml:space="preserve"> </w:t>
      </w:r>
      <w:r>
        <w:t xml:space="preserve">Mandatory carbon footprint tracking for all projects and partnerships with London Climate Action Partnership.</w:t>
      </w:r>
    </w:p>
    <w:p>
      <w:pPr>
        <w:numPr>
          <w:ilvl w:val="0"/>
          <w:numId w:val="1003"/>
        </w:numPr>
        <w:pStyle w:val="Compact"/>
      </w:pPr>
      <w:r>
        <w:rPr>
          <w:bCs/>
          <w:b/>
        </w:rPr>
        <w:t xml:space="preserve">Career Acceleration:</w:t>
      </w:r>
      <w:r>
        <w:t xml:space="preserve"> </w:t>
      </w:r>
      <w:r>
        <w:t xml:space="preserve">Fast-track CEng pathways with quarterly skill audits and £5k/year development budgets.</w:t>
      </w:r>
    </w:p>
    <w:bookmarkEnd w:id="24"/>
    <w:bookmarkStart w:id="25" w:name="pricing-strategic-compensation-benefits"/>
    <w:p>
      <w:pPr>
        <w:pStyle w:val="Heading3"/>
      </w:pPr>
      <w:r>
        <w:t xml:space="preserve">Pricing: Strategic Compensation &amp; Benefits</w:t>
      </w:r>
    </w:p>
    <w:p>
      <w:pPr>
        <w:pStyle w:val="FirstParagraph"/>
      </w:pPr>
      <w:r>
        <w:t xml:space="preserve">London’s cost of living necessitates competitive total rewards. We implement a tiered compensation model:</w:t>
      </w:r>
    </w:p>
    <w:p>
      <w:pPr>
        <w:numPr>
          <w:ilvl w:val="0"/>
          <w:numId w:val="1004"/>
        </w:numPr>
        <w:pStyle w:val="Compact"/>
      </w:pPr>
      <w:r>
        <w:t xml:space="preserve">Base salary at 95th percentile for London roles (e.g., £72k for senior Civil Engineers vs. market average £68k).</w:t>
      </w:r>
    </w:p>
    <w:p>
      <w:pPr>
        <w:numPr>
          <w:ilvl w:val="0"/>
          <w:numId w:val="1004"/>
        </w:numPr>
        <w:pStyle w:val="Compact"/>
      </w:pPr>
      <w:r>
        <w:t xml:space="preserve">London Premium: 12% housing allowance + subsidized Oyster card.</w:t>
      </w:r>
    </w:p>
    <w:p>
      <w:pPr>
        <w:numPr>
          <w:ilvl w:val="0"/>
          <w:numId w:val="1004"/>
        </w:numPr>
        <w:pStyle w:val="Compact"/>
      </w:pPr>
      <w:r>
        <w:t xml:space="preserve">Wellbeing: Enhanced flexi-time (3 days remote), mental health subsidies, and quarterly "Innovation Sprints" at London’s tech hubs (e.g., Tech City, Shoreditch).</w:t>
      </w:r>
    </w:p>
    <w:bookmarkEnd w:id="25"/>
    <w:bookmarkStart w:id="26" w:name="X571c7b058b837963382a41bbef09eea3178e8f5"/>
    <w:p>
      <w:pPr>
        <w:pStyle w:val="Heading3"/>
      </w:pPr>
      <w:r>
        <w:t xml:space="preserve">Place: Hyper-Local Talent Acquisition Channels</w:t>
      </w:r>
    </w:p>
    <w:p>
      <w:pPr>
        <w:pStyle w:val="FirstParagraph"/>
      </w:pPr>
      <w:r>
        <w:t xml:space="preserve">We abandon generic job boards. Instead:</w:t>
      </w:r>
    </w:p>
    <w:p>
      <w:pPr>
        <w:numPr>
          <w:ilvl w:val="0"/>
          <w:numId w:val="1005"/>
        </w:numPr>
        <w:pStyle w:val="Compact"/>
      </w:pPr>
      <w:r>
        <w:rPr>
          <w:bCs/>
          <w:b/>
        </w:rPr>
        <w:t xml:space="preserve">Geo-Targeted Social Media:</w:t>
      </w:r>
      <w:r>
        <w:t xml:space="preserve"> </w:t>
      </w:r>
      <w:r>
        <w:t xml:space="preserve">LinkedIn campaigns targeting London postal codes (e.g., SW1, EC1), featuring case studies of projects in specific boroughs.</w:t>
      </w:r>
    </w:p>
    <w:p>
      <w:pPr>
        <w:numPr>
          <w:ilvl w:val="0"/>
          <w:numId w:val="1005"/>
        </w:numPr>
        <w:pStyle w:val="Compact"/>
      </w:pPr>
      <w:r>
        <w:rPr>
          <w:bCs/>
          <w:b/>
        </w:rPr>
        <w:t xml:space="preserve">University Partnerships:</w:t>
      </w:r>
      <w:r>
        <w:t xml:space="preserve"> </w:t>
      </w:r>
      <w:r>
        <w:t xml:space="preserve">Exclusive career fairs at University College London (UCL) and City, University of London—hosted at their new Engineering Innovation Centre.</w:t>
      </w:r>
    </w:p>
    <w:p>
      <w:pPr>
        <w:numPr>
          <w:ilvl w:val="0"/>
          <w:numId w:val="1005"/>
        </w:numPr>
        <w:pStyle w:val="Compact"/>
      </w:pPr>
      <w:r>
        <w:rPr>
          <w:bCs/>
          <w:b/>
        </w:rPr>
        <w:t xml:space="preserve">Industry Events:</w:t>
      </w:r>
      <w:r>
        <w:t xml:space="preserve"> </w:t>
      </w:r>
      <w:r>
        <w:t xml:space="preserve">Sponsorship of CIOB’s "London Infrastructure Forum" and RIBA London events to showcase project opportunities.</w:t>
      </w:r>
    </w:p>
    <w:bookmarkEnd w:id="26"/>
    <w:bookmarkStart w:id="27" w:name="X713a4f9056dd5ce065d258a833ea8fac4f7a732"/>
    <w:p>
      <w:pPr>
        <w:pStyle w:val="Heading3"/>
      </w:pPr>
      <w:r>
        <w:t xml:space="preserve">Promotion: Digital-First Employer Branding</w:t>
      </w:r>
    </w:p>
    <w:p>
      <w:pPr>
        <w:pStyle w:val="FirstParagraph"/>
      </w:pPr>
      <w:r>
        <w:t xml:space="preserve">Crafting a narrative around the Civil Engineer’s role in shaping London:</w:t>
      </w:r>
    </w:p>
    <w:p>
      <w:pPr>
        <w:numPr>
          <w:ilvl w:val="0"/>
          <w:numId w:val="1006"/>
        </w:numPr>
        <w:pStyle w:val="Compact"/>
      </w:pPr>
      <w:r>
        <w:rPr>
          <w:bCs/>
          <w:b/>
        </w:rPr>
        <w:t xml:space="preserve">Content Strategy:</w:t>
      </w:r>
      <w:r>
        <w:t xml:space="preserve"> </w:t>
      </w:r>
      <w:r>
        <w:t xml:space="preserve">Short documentaries featuring London-based Civil Engineers discussing their impact on projects like the Greenwich Peninsula redevelopment.</w:t>
      </w:r>
    </w:p>
    <w:p>
      <w:pPr>
        <w:numPr>
          <w:ilvl w:val="0"/>
          <w:numId w:val="1006"/>
        </w:numPr>
        <w:pStyle w:val="Compact"/>
      </w:pPr>
      <w:r>
        <w:rPr>
          <w:bCs/>
          <w:b/>
        </w:rPr>
        <w:t xml:space="preserve">Referral Program:</w:t>
      </w:r>
      <w:r>
        <w:t xml:space="preserve"> </w:t>
      </w:r>
      <w:r>
        <w:t xml:space="preserve">£2,000 bonus for current employees referring successful candidates (leveraging London’s tight professional networks).</w:t>
      </w:r>
    </w:p>
    <w:p>
      <w:pPr>
        <w:numPr>
          <w:ilvl w:val="0"/>
          <w:numId w:val="1006"/>
        </w:numPr>
        <w:pStyle w:val="Compact"/>
      </w:pPr>
      <w:r>
        <w:rPr>
          <w:bCs/>
          <w:b/>
        </w:rPr>
        <w:t xml:space="preserve">Digital Experience:</w:t>
      </w:r>
      <w:r>
        <w:t xml:space="preserve"> </w:t>
      </w:r>
      <w:r>
        <w:t xml:space="preserve">Optimized careers portal with virtual tours of London sites and AI-powered role matching.</w:t>
      </w:r>
    </w:p>
    <w:bookmarkEnd w:id="27"/>
    <w:bookmarkEnd w:id="28"/>
    <w:bookmarkStart w:id="29" w:name="budget-allocation"/>
    <w:p>
      <w:pPr>
        <w:pStyle w:val="Heading2"/>
      </w:pPr>
      <w:r>
        <w:t xml:space="preserve">Budget Allocation</w:t>
      </w:r>
    </w:p>
    <w:p>
      <w:pPr>
        <w:pStyle w:val="FirstParagraph"/>
      </w:pPr>
      <w:r>
        <w:t xml:space="preserve">The £380,000 annual budget prioritizes digital channels (65%), event sponsorship (25%), and university partnerships (10%). This ensures maximum ROI in the UK London market where 74% of engineers discover roles via LinkedIn and company websites (Hays, 2023).</w:t>
      </w:r>
    </w:p>
    <w:bookmarkEnd w:id="29"/>
    <w:bookmarkStart w:id="30" w:name="measurement-kpis"/>
    <w:p>
      <w:pPr>
        <w:pStyle w:val="Heading2"/>
      </w:pPr>
      <w:r>
        <w:t xml:space="preserve">Measurement &amp; KPIs</w:t>
      </w:r>
    </w:p>
    <w:p>
      <w:pPr>
        <w:pStyle w:val="FirstParagraph"/>
      </w:pPr>
      <w:r>
        <w:t xml:space="preserve">We track success through:</w:t>
      </w:r>
    </w:p>
    <w:p>
      <w:pPr>
        <w:numPr>
          <w:ilvl w:val="0"/>
          <w:numId w:val="1007"/>
        </w:numPr>
        <w:pStyle w:val="Compact"/>
      </w:pPr>
      <w:r>
        <w:t xml:space="preserve">Application-to-Interview Rate (Target: 50%+)</w:t>
      </w:r>
    </w:p>
    <w:p>
      <w:pPr>
        <w:numPr>
          <w:ilvl w:val="0"/>
          <w:numId w:val="1007"/>
        </w:numPr>
        <w:pStyle w:val="Compact"/>
      </w:pPr>
      <w:r>
        <w:t xml:space="preserve">Diversity Metrics in Hires (Target: 30% women, 45% BAME)</w:t>
      </w:r>
    </w:p>
    <w:p>
      <w:pPr>
        <w:numPr>
          <w:ilvl w:val="0"/>
          <w:numId w:val="1007"/>
        </w:numPr>
        <w:pStyle w:val="Compact"/>
      </w:pPr>
      <w:r>
        <w:t xml:space="preserve">Retention Rates at 12 Months (Target: ≥85%)</w:t>
      </w:r>
    </w:p>
    <w:bookmarkEnd w:id="30"/>
    <w:bookmarkStart w:id="31" w:name="conclusion-engineering-londons-future"/>
    <w:p>
      <w:pPr>
        <w:pStyle w:val="Heading2"/>
      </w:pPr>
      <w:r>
        <w:t xml:space="preserve">Conclusion: Engineering London’s Future</w:t>
      </w:r>
    </w:p>
    <w:p>
      <w:pPr>
        <w:pStyle w:val="FirstParagraph"/>
      </w:pPr>
      <w:r>
        <w:t xml:space="preserve">This Marketing Plan positions the Civil Engineer as the indispensable architect of London’s sustainable urban evolution. By embedding our strategy within the fabric of United Kingdom London—leveraging local infrastructure narratives, hyper-localized recruitment, and a benefits structure responsive to metropolitan demands—we will transform talent acquisition from a cost center to a strategic growth engine. In an era where civil engineering decisions shape London’s resilience for decades, our plan ensures the right professionals are empowered to deliver transformative solutions for the city’s most critical challenges.</w:t>
      </w:r>
    </w:p>
    <w:p>
      <w:pPr>
        <w:pStyle w:val="BodyText"/>
      </w:pPr>
      <w:r>
        <w:t xml:space="preserve">Success in this market is not measured solely in filled roles, but in projects delivered on time with minimal carbon impact—proving that Civil Engineer talent is London’s greatest infrastructure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United Kingdom London</dc:title>
  <dc:creator/>
  <dc:language>en</dc:language>
  <cp:keywords/>
  <dcterms:created xsi:type="dcterms:W3CDTF">2026-07-24T03:51:05Z</dcterms:created>
  <dcterms:modified xsi:type="dcterms:W3CDTF">2026-07-24T03:51:05Z</dcterms:modified>
</cp:coreProperties>
</file>

<file path=docProps/custom.xml><?xml version="1.0" encoding="utf-8"?>
<Properties xmlns="http://schemas.openxmlformats.org/officeDocument/2006/custom-properties" xmlns:vt="http://schemas.openxmlformats.org/officeDocument/2006/docPropsVTypes"/>
</file>