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Miami</w:t>
      </w:r>
      <w:r>
        <w:t xml:space="preserve"> </w:t>
      </w:r>
      <w:r>
        <w:t xml:space="preserve">Civil</w:t>
      </w:r>
      <w:r>
        <w:t xml:space="preserve"> </w:t>
      </w:r>
      <w:r>
        <w:t xml:space="preserve">Engineering</w:t>
      </w:r>
      <w:r>
        <w:t xml:space="preserve"> </w:t>
      </w:r>
      <w:r>
        <w:t xml:space="preserve">Marketing</w:t>
      </w:r>
      <w:r>
        <w:t xml:space="preserve"> </w:t>
      </w:r>
      <w:r>
        <w:t xml:space="preserve">Plan</w:t>
      </w:r>
    </w:p>
    <w:bookmarkStart w:id="27" w:name="X55f31d35368e0d4b7e2474626b2c0f84880d2c8"/>
    <w:p>
      <w:pPr>
        <w:pStyle w:val="Heading1"/>
      </w:pPr>
      <w:r>
        <w:t xml:space="preserve">Comprehensive Marketing Plan for Civil Engineering Services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position civil engineering services as the indispensable solution for infrastructure challenges across the United States Miami region. As urban development accelerates in South Florida, driven by population growth, climate vulnerability, and massive public investment projects, demand for specialized civil engineering expertise has reached unprecedented levels. This plan focuses on capturing market share by addressing Miami's unique environmental pressures—hurricane resilience, sea-level rise adaptation, and aging infrastructure—with a value proposition that directly aligns with Miami-Dade County’s strategic priorities. We will establish our firm as the trusted partner for sustainable, code-compliant engineering solutions critical to Miami’s future. The plan targets $1.8M in new client acquisition within 18 months through hyper-localized marketing tactics.</w:t>
      </w:r>
    </w:p>
    <w:bookmarkEnd w:id="20"/>
    <w:bookmarkStart w:id="21" w:name="Xcc56875dc691483ad0eaad66d2abbd0e0529706"/>
    <w:p>
      <w:pPr>
        <w:pStyle w:val="Heading2"/>
      </w:pPr>
      <w:r>
        <w:t xml:space="preserve">Market Analysis: Miami's Unique Engineering Imperatives</w:t>
      </w:r>
    </w:p>
    <w:p>
      <w:pPr>
        <w:pStyle w:val="FirstParagraph"/>
      </w:pPr>
      <w:r>
        <w:t xml:space="preserve">The United States Miami market presents distinct challenges requiring specialized civil engineering services. With over 6 million residents and $45B in annual infrastructure investment, Miami-Dade County faces critical pressures: 1) Sea-level rise threatens 80% of coastal infrastructure (Miami Climate Action Plan); 2) Hurricane resilience is non-negotiable after repeated Category 4+ events; 3) The PortMiami expansion ($1.6B), Metrorail extensions, and Miami Beach sea wall projects drive urgent demand. Competitors often lack deep local knowledge of FEMA flood zones, saltwater corrosion protocols, and Miami-Dade’s stringent building codes (e.g., Chapter 28 on coastal construction). A recent survey by the American Society of Civil Engineers revealed 72% of Miami developers prioritize firms with proven climate-adaptive project experience. This gap presents our core opportunity to differentiate through hyper-local expertise.</w:t>
      </w:r>
    </w:p>
    <w:bookmarkEnd w:id="21"/>
    <w:bookmarkStart w:id="22" w:name="X5f57ee95ed89a70414aa6c8b363ee96122f70fe"/>
    <w:p>
      <w:pPr>
        <w:pStyle w:val="Heading2"/>
      </w:pPr>
      <w:r>
        <w:t xml:space="preserve">Target Audience: Who Needs Our Civil Engineer Expertise in Miami?</w:t>
      </w:r>
    </w:p>
    <w:p>
      <w:pPr>
        <w:pStyle w:val="FirstParagraph"/>
      </w:pPr>
      <w:r>
        <w:t xml:space="preserve">Our primary audience comprises entities driving Miami’s infrastructure transformation:</w:t>
      </w:r>
    </w:p>
    <w:p>
      <w:pPr>
        <w:numPr>
          <w:ilvl w:val="0"/>
          <w:numId w:val="1001"/>
        </w:numPr>
        <w:pStyle w:val="Compact"/>
      </w:pPr>
      <w:r>
        <w:rPr>
          <w:bCs/>
          <w:b/>
        </w:rPr>
        <w:t xml:space="preserve">Miami-Dade County Departments</w:t>
      </w:r>
      <w:r>
        <w:t xml:space="preserve">: Public Works, Transportation, and Environmental Resources (seeking stormwater management and coastal resilience solutions)</w:t>
      </w:r>
    </w:p>
    <w:p>
      <w:pPr>
        <w:numPr>
          <w:ilvl w:val="0"/>
          <w:numId w:val="1001"/>
        </w:numPr>
        <w:pStyle w:val="Compact"/>
      </w:pPr>
      <w:r>
        <w:rPr>
          <w:bCs/>
          <w:b/>
        </w:rPr>
        <w:t xml:space="preserve">Major Development Firms</w:t>
      </w:r>
      <w:r>
        <w:t xml:space="preserve">: Related Companies (Bayside Marketplace), JPMorgan Chase (Dadeland Mall expansion), and urban developers requiring LEED-certified infrastructure for high-rise projects</w:t>
      </w:r>
    </w:p>
    <w:p>
      <w:pPr>
        <w:numPr>
          <w:ilvl w:val="0"/>
          <w:numId w:val="1001"/>
        </w:numPr>
        <w:pStyle w:val="Compact"/>
      </w:pPr>
      <w:r>
        <w:rPr>
          <w:bCs/>
          <w:b/>
        </w:rPr>
        <w:t xml:space="preserve">Utility &amp; Transportation Authorities</w:t>
      </w:r>
      <w:r>
        <w:t xml:space="preserve">: Miami-Dade Water and Sewer Department, Metro Mover operators needing flood-resilient system upgrades</w:t>
      </w:r>
    </w:p>
    <w:p>
      <w:pPr>
        <w:pStyle w:val="FirstParagraph"/>
      </w:pPr>
      <w:r>
        <w:t xml:space="preserve">Secondary audiences include insurance underwriters (e.g., FM Global) assessing climate risks for commercial properties and municipal bond investors evaluating infrastructure project viability. These stakeholders prioritize civil engineers who demonstrate Miami-specific regulatory navigation and risk mitigation—exactly our core competency.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Market Share Growth</w:t>
      </w:r>
      <w:r>
        <w:t xml:space="preserve">: Capture 15% of Miami-Dade County’s new municipal engineering contracts ($87M in Q1-Q3 2024) by December 2025.</w:t>
      </w:r>
    </w:p>
    <w:p>
      <w:pPr>
        <w:numPr>
          <w:ilvl w:val="0"/>
          <w:numId w:val="1002"/>
        </w:numPr>
        <w:pStyle w:val="Compact"/>
      </w:pPr>
      <w:r>
        <w:rPr>
          <w:bCs/>
          <w:b/>
        </w:rPr>
        <w:t xml:space="preserve">Brand Authority</w:t>
      </w:r>
      <w:r>
        <w:t xml:space="preserve">: Achieve top-3 visibility in "Miami civil engineer" Google searches via content marketing and local SEO within 12 months.</w:t>
      </w:r>
    </w:p>
    <w:p>
      <w:pPr>
        <w:pStyle w:val="FirstParagraph"/>
      </w:pPr>
      <w:r>
        <w:t xml:space="preserve">Our marketing strategy centers on proving how our Civil Engineer services directly solve Miami’s most urgent, costly problems:</w:t>
      </w:r>
    </w:p>
    <w:p>
      <w:pPr>
        <w:numPr>
          <w:ilvl w:val="0"/>
          <w:numId w:val="1003"/>
        </w:numPr>
        <w:pStyle w:val="Compact"/>
      </w:pPr>
      <w:r>
        <w:rPr>
          <w:bCs/>
          <w:b/>
        </w:rPr>
        <w:t xml:space="preserve">Climate-Resilient Design Portfolio</w:t>
      </w:r>
      <w:r>
        <w:t xml:space="preserve">: Showcase projects like the 2023 Miami Beach Sea Level Rise Project (flood elevation modeling) and Overtown stormwater retrofit. Highlight how our designs reduced flood claims by 40% for clients in Zone AE.</w:t>
      </w:r>
    </w:p>
    <w:p>
      <w:pPr>
        <w:numPr>
          <w:ilvl w:val="0"/>
          <w:numId w:val="1003"/>
        </w:numPr>
        <w:pStyle w:val="Compact"/>
      </w:pPr>
      <w:r>
        <w:rPr>
          <w:bCs/>
          <w:b/>
        </w:rPr>
        <w:t xml:space="preserve">County Partnership Program</w:t>
      </w:r>
      <w:r>
        <w:t xml:space="preserve">: Offer free "Miami Climate Risk Assessment" workshops for County officials, co-hosted with the Miami-Dade Office of Resilience at events like the Miami Climate Summit. Position us as proactive partners, not vendors.</w:t>
      </w:r>
    </w:p>
    <w:p>
      <w:pPr>
        <w:numPr>
          <w:ilvl w:val="0"/>
          <w:numId w:val="1003"/>
        </w:numPr>
        <w:pStyle w:val="Compact"/>
      </w:pPr>
      <w:r>
        <w:rPr>
          <w:bCs/>
          <w:b/>
        </w:rPr>
        <w:t xml:space="preserve">Local Content Engine</w:t>
      </w:r>
      <w:r>
        <w:t xml:space="preserve">: Publish monthly case studies on "Miami Infrastructure Challenges" (e.g., "How We Prevented $2.3M in Damage During Hurricane Idalia"). Target keywords: "civil engineer Miami," "coastal resilience consultant," "Miami-Dade stormwater solutions."</w:t>
      </w:r>
    </w:p>
    <w:p>
      <w:pPr>
        <w:numPr>
          <w:ilvl w:val="0"/>
          <w:numId w:val="1003"/>
        </w:numPr>
        <w:pStyle w:val="Compact"/>
      </w:pPr>
      <w:r>
        <w:rPr>
          <w:bCs/>
          <w:b/>
        </w:rPr>
        <w:t xml:space="preserve">Strategic Community Integration</w:t>
      </w:r>
      <w:r>
        <w:t xml:space="preserve">: Sponsor the Miami Engineers for a Sustainable Future (MESF) chapter and speak at FIU’s Civil Engineering Symposium. Attend all County public hearings on infrastructure projects to build relationships.</w:t>
      </w:r>
    </w:p>
    <w:bookmarkEnd w:id="23"/>
    <w:bookmarkStart w:id="24" w:name="budget-allocation-tactics"/>
    <w:p>
      <w:pPr>
        <w:pStyle w:val="Heading2"/>
      </w:pPr>
      <w:r>
        <w:t xml:space="preserve">Budget Allocation &amp; Tactics</w:t>
      </w:r>
    </w:p>
    <w:p>
      <w:pPr>
        <w:pStyle w:val="FirstParagraph"/>
      </w:pPr>
      <w:r>
        <w:t xml:space="preserve">With a $185,000 marketing budget, we prioritize high-ROI Miami-specific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Localized SEO + Google Ads (Miami keywords)</w:t>
            </w:r>
          </w:p>
        </w:tc>
        <w:tc>
          <w:tcPr/>
          <w:p>
            <w:pPr>
              <w:pStyle w:val="Compact"/>
              <w:jc w:val="left"/>
            </w:pPr>
            <w:r>
              <w:t xml:space="preserve">$45,000</w:t>
            </w:r>
          </w:p>
        </w:tc>
        <w:tc>
          <w:tcPr/>
          <w:p>
            <w:pPr>
              <w:pStyle w:val="Compact"/>
              <w:jc w:val="left"/>
            </w:pPr>
            <w:r>
              <w:t xml:space="preserve">25% increase in qualified leads from Miami zip codes</w:t>
            </w:r>
          </w:p>
        </w:tc>
      </w:tr>
      <w:tr>
        <w:tc>
          <w:tcPr/>
          <w:p>
            <w:pPr>
              <w:pStyle w:val="Compact"/>
              <w:jc w:val="left"/>
            </w:pPr>
            <w:r>
              <w:t xml:space="preserve">Miami-Dade County Partnership Program (workshops, event sponsorships)</w:t>
            </w:r>
          </w:p>
        </w:tc>
        <w:tc>
          <w:tcPr/>
          <w:p>
            <w:pPr>
              <w:pStyle w:val="Compact"/>
              <w:jc w:val="left"/>
            </w:pPr>
            <w:r>
              <w:t xml:space="preserve">$60,000</w:t>
            </w:r>
          </w:p>
        </w:tc>
        <w:tc>
          <w:tcPr/>
          <w:p>
            <w:pPr>
              <w:pStyle w:val="Compact"/>
              <w:jc w:val="left"/>
            </w:pPr>
            <w:r>
              <w:t xml:space="preserve">12 new county contracts by Year-End 2024</w:t>
            </w:r>
          </w:p>
        </w:tc>
      </w:tr>
      <w:tr>
        <w:tc>
          <w:tcPr/>
          <w:p>
            <w:pPr>
              <w:pStyle w:val="Compact"/>
              <w:jc w:val="left"/>
            </w:pPr>
            <w:r>
              <w:t xml:space="preserve">Content Creation (Miami case studies, videos of local projects)</w:t>
            </w:r>
          </w:p>
        </w:tc>
        <w:tc>
          <w:tcPr/>
          <w:p>
            <w:pPr>
              <w:pStyle w:val="Compact"/>
              <w:jc w:val="left"/>
            </w:pPr>
            <w:r>
              <w:t xml:space="preserve">$48,000</w:t>
            </w:r>
          </w:p>
        </w:tc>
        <w:tc>
          <w:tcPr/>
          <w:p>
            <w:pPr>
              <w:pStyle w:val="Compact"/>
              <w:jc w:val="left"/>
            </w:pPr>
            <w:r>
              <w:t xml:space="preserve">5+ published articles per month in Miami Herald/Building Miami; 35% lead conversion rate</w:t>
            </w:r>
          </w:p>
        </w:tc>
      </w:tr>
      <w:tr>
        <w:tc>
          <w:tcPr/>
          <w:p>
            <w:pPr>
              <w:pStyle w:val="Compact"/>
              <w:jc w:val="left"/>
            </w:pPr>
            <w:r>
              <w:t xml:space="preserve">Community Engagement (MESF sponsorships, FIU symposium)</w:t>
            </w:r>
          </w:p>
        </w:tc>
        <w:tc>
          <w:tcPr/>
          <w:p>
            <w:pPr>
              <w:pStyle w:val="Compact"/>
              <w:jc w:val="left"/>
            </w:pPr>
            <w:r>
              <w:t xml:space="preserve">$32,000</w:t>
            </w:r>
          </w:p>
        </w:tc>
        <w:tc>
          <w:tcPr/>
          <w:p>
            <w:pPr>
              <w:pStyle w:val="Compact"/>
              <w:jc w:val="left"/>
            </w:pPr>
            <w:r>
              <w:t xml:space="preserve">15+ new B2B referral partnerships</w:t>
            </w:r>
          </w:p>
        </w:tc>
      </w:tr>
    </w:tbl>
    <w:bookmarkEnd w:id="24"/>
    <w:bookmarkStart w:id="25" w:name="measurement-kpis-for-miami-success"/>
    <w:p>
      <w:pPr>
        <w:pStyle w:val="Heading2"/>
      </w:pPr>
      <w:r>
        <w:t xml:space="preserve">Measurement &amp; KPIs for Miami Success</w:t>
      </w:r>
    </w:p>
    <w:p>
      <w:pPr>
        <w:pStyle w:val="FirstParagraph"/>
      </w:pPr>
      <w:r>
        <w:t xml:space="preserve">We track success through metrics directly tied to Miami’s infrastructure market:</w:t>
      </w:r>
    </w:p>
    <w:p>
      <w:pPr>
        <w:numPr>
          <w:ilvl w:val="0"/>
          <w:numId w:val="1004"/>
        </w:numPr>
        <w:pStyle w:val="Compact"/>
      </w:pPr>
      <w:r>
        <w:rPr>
          <w:bCs/>
          <w:b/>
        </w:rPr>
        <w:t xml:space="preserve">Lead Quality</w:t>
      </w:r>
      <w:r>
        <w:t xml:space="preserve">: % of leads from Miami-Dade County (target: 70%) and development firms (target: 50%+)</w:t>
      </w:r>
    </w:p>
    <w:p>
      <w:pPr>
        <w:numPr>
          <w:ilvl w:val="0"/>
          <w:numId w:val="1004"/>
        </w:numPr>
        <w:pStyle w:val="Compact"/>
      </w:pPr>
      <w:r>
        <w:rPr>
          <w:bCs/>
          <w:b/>
        </w:rPr>
        <w:t xml:space="preserve">Proposal Conversion</w:t>
      </w:r>
      <w:r>
        <w:t xml:space="preserve">: Target 35% win rate on county proposals vs. industry average of 22%</w:t>
      </w:r>
    </w:p>
    <w:p>
      <w:pPr>
        <w:numPr>
          <w:ilvl w:val="0"/>
          <w:numId w:val="1004"/>
        </w:numPr>
        <w:pStyle w:val="Compact"/>
      </w:pPr>
      <w:r>
        <w:rPr>
          <w:bCs/>
          <w:b/>
        </w:rPr>
        <w:t xml:space="preserve">Brand Sentiment</w:t>
      </w:r>
      <w:r>
        <w:t xml:space="preserve">: Monitor "Miami civil engineer" social mentions; target +40% positive sentiment via Miami Chamber of Commerce surveys</w:t>
      </w:r>
    </w:p>
    <w:p>
      <w:pPr>
        <w:numPr>
          <w:ilvl w:val="0"/>
          <w:numId w:val="1004"/>
        </w:numPr>
        <w:pStyle w:val="Compact"/>
      </w:pPr>
      <w:r>
        <w:rPr>
          <w:bCs/>
          <w:b/>
        </w:rPr>
        <w:t xml:space="preserve">Client Retention</w:t>
      </w:r>
      <w:r>
        <w:t xml:space="preserve">: Achieve 90% retention rate for municipal clients through proactive stormwater management updates (addressing a key Miami pain point)</w:t>
      </w:r>
    </w:p>
    <w:bookmarkEnd w:id="25"/>
    <w:bookmarkStart w:id="26" w:name="X69f0de0d145f1bc7ea6c9c15a82f832ea372cd4"/>
    <w:p>
      <w:pPr>
        <w:pStyle w:val="Heading2"/>
      </w:pPr>
      <w:r>
        <w:t xml:space="preserve">Conclusion: Engineering Miami's Future, Together</w:t>
      </w:r>
    </w:p>
    <w:p>
      <w:pPr>
        <w:pStyle w:val="FirstParagraph"/>
      </w:pPr>
      <w:r>
        <w:t xml:space="preserve">This Marketing Plan positions our Civil Engineer services not as a generic offering but as the essential catalyst for resilient, sustainable growth in the United States Miami market. By embedding ourselves within Miami’s infrastructure ecosystem—through county partnerships, hyper-local content, and climate-resilience expertise—we transcend traditional marketing to become an indispensable partner in building a future-proof city. Every tactic targets how our Civil Engineer solutions directly address Miami-specific risks: from preventing saltwater intrusion in sewer lines to designing evacuation routes for Category 5 storms. As Miami invests billions in its infrastructure, this plan ensures we are the recognized leader when county officials and developers seek civil engineering excellence rooted in South Florida’s reality. The time to secure our position as Miami’s premier Civil Engineering partner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Miami Civil Engineering Marketing Plan</dc:title>
  <dc:creator/>
  <dc:language>en</dc:language>
  <cp:keywords/>
  <dcterms:created xsi:type="dcterms:W3CDTF">2026-07-23T16:45:55Z</dcterms:created>
  <dcterms:modified xsi:type="dcterms:W3CDTF">2026-07-23T16:45:55Z</dcterms:modified>
</cp:coreProperties>
</file>

<file path=docProps/custom.xml><?xml version="1.0" encoding="utf-8"?>
<Properties xmlns="http://schemas.openxmlformats.org/officeDocument/2006/custom-properties" xmlns:vt="http://schemas.openxmlformats.org/officeDocument/2006/docPropsVTypes"/>
</file>