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York</w:t>
      </w:r>
      <w:r>
        <w:t xml:space="preserve"> </w:t>
      </w:r>
      <w:r>
        <w:t xml:space="preserve">City</w:t>
      </w:r>
    </w:p>
    <w:bookmarkStart w:id="32" w:name="Xfddfc3c22cb42ed4c7a2432b2a761a48829fa6a"/>
    <w:p>
      <w:pPr>
        <w:pStyle w:val="Heading1"/>
      </w:pPr>
      <w:r>
        <w:t xml:space="preserve">Comprehensive Marketing Plan for Civil Engineer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civil engineering practice within the competitive landscape of United States New York City. As the most populous city in the nation, New York City demands specialized civil engineering expertise to address its complex infrastructure challenges, including aging transit systems, climate resilience initiatives, and rapid urban development. This plan leverages NYC's unique market dynamics to position our firm as the go-to</w:t>
      </w:r>
      <w:r>
        <w:t xml:space="preserve"> </w:t>
      </w:r>
      <w:r>
        <w:rPr>
          <w:iCs/>
          <w:i/>
        </w:rPr>
        <w:t xml:space="preserve">Civil Engineer</w:t>
      </w:r>
      <w:r>
        <w:t xml:space="preserve"> </w:t>
      </w:r>
      <w:r>
        <w:t xml:space="preserve">partner for municipal projects, private developers, and sustainability-focused clients. The strategy targets a 35% market share increase in high-value infrastructure contracts within three years while adhering to strict NYC regulatory frameworks and sustainability mandates.</w:t>
      </w:r>
    </w:p>
    <w:bookmarkEnd w:id="20"/>
    <w:bookmarkStart w:id="21" w:name="market-analysis-new-york-city-context"/>
    <w:p>
      <w:pPr>
        <w:pStyle w:val="Heading2"/>
      </w:pPr>
      <w:r>
        <w:t xml:space="preserve">Market Analysis: New York City Context</w:t>
      </w:r>
    </w:p>
    <w:p>
      <w:pPr>
        <w:pStyle w:val="FirstParagraph"/>
      </w:pPr>
      <w:r>
        <w:t xml:space="preserve">New York City represents a $17 billion annual civil engineering services market, driven by the MTA's $50+ billion capital plan, NYCHA's $46 billion modernization initiative, and the city’s mandate for 100% clean energy by 2040. The United States Environmental Protection Agency (EPA) designates NYC as a "priority area" for infrastructure resilience due to rising sea levels and extreme weather events. Key competitors include large national firms like WSP USA and local players such as AECOM, but gaps persist in hyper-localized solutions for borough-specific challenges—e.g., Brooklyn waterfront reclamation or Harlem flood mitigation. This plan capitalizes on these unmet needs through NYC-first expertise, directly addressing the city’s 2030 Climate Action Plan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Agencies:</w:t>
      </w:r>
      <w:r>
        <w:t xml:space="preserve"> </w:t>
      </w:r>
      <w:r>
        <w:t xml:space="preserve">NYC Department of Design and Construction (DDC), Department of Transportation (DOT), and Environmental Protection Agency. Primary need: Compliance with NYC Local Law 97 (emissions reduction) and Climate Resiliency Standards.</w:t>
      </w:r>
    </w:p>
    <w:p>
      <w:pPr>
        <w:numPr>
          <w:ilvl w:val="0"/>
          <w:numId w:val="1001"/>
        </w:numPr>
        <w:pStyle w:val="Compact"/>
      </w:pPr>
      <w:r>
        <w:rPr>
          <w:bCs/>
          <w:b/>
        </w:rPr>
        <w:t xml:space="preserve">Private Developers:</w:t>
      </w:r>
      <w:r>
        <w:t xml:space="preserve"> </w:t>
      </w:r>
      <w:r>
        <w:t xml:space="preserve">Luxury residential firms like Related Companies, commercial real estate developers focused on Hudson Yards expansion. Need: Fast-tracked permitting under NYC’s "Fast Track" program for sustainable projects.</w:t>
      </w:r>
    </w:p>
    <w:p>
      <w:pPr>
        <w:numPr>
          <w:ilvl w:val="0"/>
          <w:numId w:val="1001"/>
        </w:numPr>
        <w:pStyle w:val="Compact"/>
      </w:pPr>
      <w:r>
        <w:rPr>
          <w:bCs/>
          <w:b/>
        </w:rPr>
        <w:t xml:space="preserve">Sustainability Consultants:</w:t>
      </w:r>
      <w:r>
        <w:t xml:space="preserve"> </w:t>
      </w:r>
      <w:r>
        <w:t xml:space="preserve">Firms specializing in LEED certification (e.g., Arup) seeking specialized civil engineering support for green infrastructure integration.</w:t>
      </w:r>
    </w:p>
    <w:bookmarkEnd w:id="22"/>
    <w:bookmarkStart w:id="23" w:name="unique-value-proposition"/>
    <w:p>
      <w:pPr>
        <w:pStyle w:val="Heading2"/>
      </w:pPr>
      <w:r>
        <w:t xml:space="preserve">Unique Value Proposition</w:t>
      </w:r>
    </w:p>
    <w:p>
      <w:pPr>
        <w:pStyle w:val="FirstParagraph"/>
      </w:pPr>
      <w:r>
        <w:t xml:space="preserve">We differentiate through three NYC-specific pillars:</w:t>
      </w:r>
    </w:p>
    <w:p>
      <w:pPr>
        <w:numPr>
          <w:ilvl w:val="0"/>
          <w:numId w:val="1002"/>
        </w:numPr>
        <w:pStyle w:val="Compact"/>
      </w:pPr>
      <w:r>
        <w:rPr>
          <w:bCs/>
          <w:b/>
        </w:rPr>
        <w:t xml:space="preserve">Borough-Specific Expertise:</w:t>
      </w:r>
      <w:r>
        <w:t xml:space="preserve"> </w:t>
      </w:r>
      <w:r>
        <w:t xml:space="preserve">Deep knowledge of Manhattan’s dense utility networks, Queens’ flood-prone zones, and Bronx infrastructure aging patterns—unavailable in generic national firms.</w:t>
      </w:r>
    </w:p>
    <w:p>
      <w:pPr>
        <w:numPr>
          <w:ilvl w:val="0"/>
          <w:numId w:val="1002"/>
        </w:numPr>
        <w:pStyle w:val="Compact"/>
      </w:pPr>
      <w:r>
        <w:rPr>
          <w:bCs/>
          <w:b/>
        </w:rPr>
        <w:t xml:space="preserve">Regulatory Acceleration:</w:t>
      </w:r>
      <w:r>
        <w:t xml:space="preserve"> </w:t>
      </w:r>
      <w:r>
        <w:t xml:space="preserve">Proprietary "NYC Compliance Navigator" tool that cuts permitting timelines by 40% using NYC DOB digital portals and historic project data.</w:t>
      </w:r>
    </w:p>
    <w:p>
      <w:pPr>
        <w:numPr>
          <w:ilvl w:val="0"/>
          <w:numId w:val="1002"/>
        </w:numPr>
        <w:pStyle w:val="Compact"/>
      </w:pPr>
      <w:r>
        <w:rPr>
          <w:bCs/>
          <w:b/>
        </w:rPr>
        <w:t xml:space="preserve">Climate-Forward Engineering:</w:t>
      </w:r>
      <w:r>
        <w:t xml:space="preserve"> </w:t>
      </w:r>
      <w:r>
        <w:t xml:space="preserve">Custom solutions aligning with NYC’s Climate Resiliency Guidelines (e.g., elevated electrical systems for flood zones, permeable pavements in parks).</w:t>
      </w:r>
    </w:p>
    <w:bookmarkEnd w:id="23"/>
    <w:bookmarkStart w:id="28" w:name="marketing-sales-strategies"/>
    <w:p>
      <w:pPr>
        <w:pStyle w:val="Heading2"/>
      </w:pPr>
      <w:r>
        <w:t xml:space="preserve">Marketing &amp; Sales Strategies</w:t>
      </w:r>
    </w:p>
    <w:bookmarkStart w:id="24" w:name="digital-dominance-in-nyc-ecosystems"/>
    <w:p>
      <w:pPr>
        <w:pStyle w:val="Heading3"/>
      </w:pPr>
      <w:r>
        <w:t xml:space="preserve">1. Digital Dominance in NYC Ecosystems</w:t>
      </w:r>
    </w:p>
    <w:p>
      <w:pPr>
        <w:pStyle w:val="FirstParagraph"/>
      </w:pPr>
      <w:r>
        <w:t xml:space="preserve">We will deploy targeted LinkedIn campaigns focusing on NYC DDC project managers using keywords like "NYC civil engineer compliance" and "climate-resilient infrastructure." A dedicated microsite (nyccivilengineer.com) will host downloadable NYC-specific resources: "2024 DOT Permitting Checklist," "Local Law 97 Compliance Calculator," and case studies of Brooklyn Bridge Park’s stormwater management. SEO optimization targets location-based searches with 15+ NYC-focused keywords.</w:t>
      </w:r>
    </w:p>
    <w:bookmarkEnd w:id="24"/>
    <w:bookmarkStart w:id="25" w:name="X796e2933947e537d08e3b84826d0fa68db3ca95"/>
    <w:p>
      <w:pPr>
        <w:pStyle w:val="Heading3"/>
      </w:pPr>
      <w:r>
        <w:t xml:space="preserve">2. Strategic Partnerships with NYC Institutions</w:t>
      </w:r>
    </w:p>
    <w:p>
      <w:pPr>
        <w:pStyle w:val="FirstParagraph"/>
      </w:pPr>
      <w:r>
        <w:t xml:space="preserve">Collaborations include:</w:t>
      </w:r>
    </w:p>
    <w:p>
      <w:pPr>
        <w:numPr>
          <w:ilvl w:val="0"/>
          <w:numId w:val="1003"/>
        </w:numPr>
        <w:pStyle w:val="Compact"/>
      </w:pPr>
      <w:r>
        <w:t xml:space="preserve">Hosting quarterly workshops at Columbia University’s Civil Engineering Department on "NYC Infrastructure Challenges."</w:t>
      </w:r>
    </w:p>
    <w:p>
      <w:pPr>
        <w:numPr>
          <w:ilvl w:val="0"/>
          <w:numId w:val="1003"/>
        </w:numPr>
        <w:pStyle w:val="Compact"/>
      </w:pPr>
      <w:r>
        <w:t xml:space="preserve">Becoming a certified vendor for NYC’s Sustainable Construction Certification Program.</w:t>
      </w:r>
    </w:p>
    <w:p>
      <w:pPr>
        <w:numPr>
          <w:ilvl w:val="0"/>
          <w:numId w:val="1003"/>
        </w:numPr>
        <w:pStyle w:val="Compact"/>
      </w:pPr>
      <w:r>
        <w:t xml:space="preserve">Partnering with the Urban Land Institute (ULI) for Bronx development forums.</w:t>
      </w:r>
    </w:p>
    <w:bookmarkEnd w:id="25"/>
    <w:bookmarkStart w:id="26" w:name="community-centric-client-acquisition"/>
    <w:p>
      <w:pPr>
        <w:pStyle w:val="Heading3"/>
      </w:pPr>
      <w:r>
        <w:t xml:space="preserve">3. Community-Centric Client Acquisition</w:t>
      </w:r>
    </w:p>
    <w:p>
      <w:pPr>
        <w:pStyle w:val="FirstParagraph"/>
      </w:pPr>
      <w:r>
        <w:t xml:space="preserve">We will sponsor borough-specific initiatives like the Williamsburg Waterfront Festival to build trust, while offering free "Infrastructure Health Checks" for community boards—a direct response to NYC’s 2021 Community-Based Infrastructure Act. All marketing materials explicitly reference NYC-specific regulations (e.g., "We engineer per NY State Law § 154-57 and NYC Local Law 97").</w:t>
      </w:r>
    </w:p>
    <w:bookmarkEnd w:id="26"/>
    <w:bookmarkStart w:id="27" w:name="sales-process-optimization"/>
    <w:p>
      <w:pPr>
        <w:pStyle w:val="Heading3"/>
      </w:pPr>
      <w:r>
        <w:t xml:space="preserve">4. Sales Process Optimization</w:t>
      </w:r>
    </w:p>
    <w:p>
      <w:pPr>
        <w:pStyle w:val="FirstParagraph"/>
      </w:pPr>
      <w:r>
        <w:t xml:space="preserve">A dedicated NYC Account Team (all certified in NYC DOB requirements) uses CRM tracking to monitor city budget cycles, targeting RFPs during Q2 (when most municipal projects are approved). We guarantee "first-response within 24 hours" for all NYC-related inquiries via a dedicated phone line (+1-646-XXX-XXXX).</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NYC-Specific Focus</w:t>
            </w:r>
          </w:p>
        </w:tc>
      </w:tr>
      <w:tr>
        <w:tc>
          <w:tcPr/>
          <w:p>
            <w:pPr>
              <w:pStyle w:val="Compact"/>
              <w:jc w:val="left"/>
            </w:pPr>
            <w:r>
              <w:t xml:space="preserve">Digital Marketing (SEO, LinkedIn)</w:t>
            </w:r>
          </w:p>
        </w:tc>
        <w:tc>
          <w:tcPr/>
          <w:p>
            <w:pPr>
              <w:pStyle w:val="Compact"/>
              <w:jc w:val="left"/>
            </w:pPr>
            <w:r>
              <w:t xml:space="preserve">35%</w:t>
            </w:r>
          </w:p>
        </w:tc>
        <w:tc>
          <w:tcPr/>
          <w:p>
            <w:pPr>
              <w:pStyle w:val="Compact"/>
              <w:jc w:val="left"/>
            </w:pPr>
            <w:r>
              <w:t xml:space="preserve">NYC keyword targeting, geo-fenced ads near city hall/DOB offices</w:t>
            </w:r>
          </w:p>
        </w:tc>
      </w:tr>
      <w:tr>
        <w:tc>
          <w:tcPr/>
          <w:p>
            <w:pPr>
              <w:pStyle w:val="Compact"/>
              <w:jc w:val="left"/>
            </w:pPr>
            <w:r>
              <w:t xml:space="preserve">Partnerships &amp; Sponsorships</w:t>
            </w:r>
          </w:p>
        </w:tc>
        <w:tc>
          <w:tcPr/>
          <w:p>
            <w:pPr>
              <w:pStyle w:val="Compact"/>
              <w:jc w:val="left"/>
            </w:pPr>
            <w:r>
              <w:t xml:space="preserve">25%</w:t>
            </w:r>
          </w:p>
        </w:tc>
        <w:tc>
          <w:tcPr/>
          <w:p>
            <w:pPr>
              <w:pStyle w:val="Compact"/>
              <w:jc w:val="left"/>
            </w:pPr>
            <w:r>
              <w:t xml:space="preserve">ULI forums, Columbia University events</w:t>
            </w:r>
          </w:p>
        </w:tc>
      </w:tr>
      <w:tr>
        <w:tc>
          <w:tcPr/>
          <w:p>
            <w:pPr>
              <w:pStyle w:val="Compact"/>
              <w:jc w:val="left"/>
            </w:pPr>
            <w:r>
              <w:t xml:space="preserve">Promotional Materials (NYC-Centric)</w:t>
            </w:r>
          </w:p>
        </w:tc>
        <w:tc>
          <w:tcPr/>
          <w:p>
            <w:pPr>
              <w:pStyle w:val="Compact"/>
              <w:jc w:val="left"/>
            </w:pPr>
            <w:r>
              <w:t xml:space="preserve">20%</w:t>
            </w:r>
          </w:p>
        </w:tc>
        <w:tc>
          <w:tcPr/>
          <w:p>
            <w:pPr>
              <w:pStyle w:val="Compact"/>
              <w:jc w:val="left"/>
            </w:pPr>
            <w:r>
              <w:t xml:space="preserve">NYC-specific compliance guides, borough maps</w:t>
            </w:r>
          </w:p>
        </w:tc>
      </w:tr>
      <w:tr>
        <w:tc>
          <w:tcPr/>
          <w:p>
            <w:pPr>
              <w:pStyle w:val="Compact"/>
              <w:jc w:val="left"/>
            </w:pPr>
            <w:r>
              <w:t xml:space="preserve">Sales Team Training (NYC Regulations)</w:t>
            </w:r>
          </w:p>
        </w:tc>
        <w:tc>
          <w:tcPr/>
          <w:p>
            <w:pPr>
              <w:pStyle w:val="Compact"/>
              <w:jc w:val="left"/>
            </w:pPr>
            <w:r>
              <w:t xml:space="preserve">15%</w:t>
            </w:r>
          </w:p>
        </w:tc>
        <w:tc>
          <w:tcPr/>
          <w:p>
            <w:pPr>
              <w:pStyle w:val="Compact"/>
              <w:jc w:val="left"/>
            </w:pPr>
            <w:r>
              <w:t xml:space="preserve">Daily NYC code updates, DOT portal certification</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NYC event cancellations (e.g., due to weather)</w:t>
            </w:r>
          </w:p>
        </w:tc>
      </w:tr>
    </w:tbl>
    <w:bookmarkEnd w:id="29"/>
    <w:bookmarkStart w:id="30" w:name="key-performance-indicators-kpis"/>
    <w:p>
      <w:pPr>
        <w:pStyle w:val="Heading2"/>
      </w:pPr>
      <w:r>
        <w:t xml:space="preserve">Key Performance Indicators (KPIs)</w:t>
      </w:r>
    </w:p>
    <w:p>
      <w:pPr>
        <w:numPr>
          <w:ilvl w:val="0"/>
          <w:numId w:val="1004"/>
        </w:numPr>
        <w:pStyle w:val="Compact"/>
      </w:pPr>
      <w:r>
        <w:rPr>
          <w:bCs/>
          <w:b/>
        </w:rPr>
        <w:t xml:space="preserve">NYC Contract Wins:</w:t>
      </w:r>
      <w:r>
        <w:t xml:space="preserve"> </w:t>
      </w:r>
      <w:r>
        <w:t xml:space="preserve">12+ municipal/developer contracts in Year 1 (vs. industry avg. of 8)</w:t>
      </w:r>
    </w:p>
    <w:p>
      <w:pPr>
        <w:numPr>
          <w:ilvl w:val="0"/>
          <w:numId w:val="1004"/>
        </w:numPr>
        <w:pStyle w:val="Compact"/>
      </w:pPr>
      <w:r>
        <w:rPr>
          <w:bCs/>
          <w:b/>
        </w:rPr>
        <w:t xml:space="preserve">NYC-First Response Rate:</w:t>
      </w:r>
      <w:r>
        <w:t xml:space="preserve"> </w:t>
      </w:r>
      <w:r>
        <w:t xml:space="preserve">95% within 24 hours for all NYC inquiries</w:t>
      </w:r>
    </w:p>
    <w:p>
      <w:pPr>
        <w:numPr>
          <w:ilvl w:val="0"/>
          <w:numId w:val="1004"/>
        </w:numPr>
        <w:pStyle w:val="Compact"/>
      </w:pPr>
      <w:r>
        <w:rPr>
          <w:bCs/>
          <w:b/>
        </w:rPr>
        <w:t xml:space="preserve">Regulatory Compliance Score:</w:t>
      </w:r>
      <w:r>
        <w:t xml:space="preserve"> </w:t>
      </w:r>
      <w:r>
        <w:t xml:space="preserve">Zero non-conformities in NYC DOB audits</w:t>
      </w:r>
    </w:p>
    <w:p>
      <w:pPr>
        <w:numPr>
          <w:ilvl w:val="0"/>
          <w:numId w:val="1004"/>
        </w:numPr>
        <w:pStyle w:val="Compact"/>
      </w:pPr>
      <w:r>
        <w:rPr>
          <w:bCs/>
          <w:b/>
        </w:rPr>
        <w:t xml:space="preserve">Digital Reach:</w:t>
      </w:r>
      <w:r>
        <w:t xml:space="preserve"> </w:t>
      </w:r>
      <w:r>
        <w:t xml:space="preserve">30% increase in "NYC civil engineer" search impressions YoY</w:t>
      </w:r>
    </w:p>
    <w:bookmarkEnd w:id="30"/>
    <w:bookmarkStart w:id="31" w:name="conclusion-the-nyc-advantage"/>
    <w:p>
      <w:pPr>
        <w:pStyle w:val="Heading2"/>
      </w:pPr>
      <w:r>
        <w:t xml:space="preserve">Conclusion: The NYC Advantage</w:t>
      </w:r>
    </w:p>
    <w:p>
      <w:pPr>
        <w:pStyle w:val="FirstParagraph"/>
      </w:pPr>
      <w:r>
        <w:t xml:space="preserve">This Marketing Plan positions our firm not merely as a service provider, but as an indispensable partner for navigating New York City’s unique engineering ecosystem. By embedding NYC-specific regulatory knowledge, climate action alignment, and community engagement into every service offering, we transform the traditional</w:t>
      </w:r>
      <w:r>
        <w:t xml:space="preserve"> </w:t>
      </w:r>
      <w:r>
        <w:rPr>
          <w:iCs/>
          <w:i/>
        </w:rPr>
        <w:t xml:space="preserve">Civil Engineer</w:t>
      </w:r>
      <w:r>
        <w:t xml:space="preserve"> </w:t>
      </w:r>
      <w:r>
        <w:t xml:space="preserve">role into a strategic asset for city stakeholders. In the United States’ most complex urban environment, where infrastructure failure risks $150 billion annually (per NYC Comptroller), our hyper-localized approach delivers measurable value beyond competitors. Within 18 months, this plan will establish us as the benchmark for civil engineering excellence in New York City—a critical differentiator that turns municipal contracts into long-term partnerships while advancing the city’s sustainability mission.</w:t>
      </w:r>
    </w:p>
    <w:p>
      <w:pPr>
        <w:pStyle w:val="BodyText"/>
      </w:pPr>
      <w:r>
        <w:rPr>
          <w:iCs/>
          <w:i/>
        </w:rPr>
        <w:t xml:space="preserve">Approved by: [Your Company Name] Executive Board</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New York City</dc:title>
  <dc:creator/>
  <dc:language>en</dc:language>
  <cp:keywords/>
  <dcterms:created xsi:type="dcterms:W3CDTF">2026-07-24T12:55:28Z</dcterms:created>
  <dcterms:modified xsi:type="dcterms:W3CDTF">2026-07-24T12:55:28Z</dcterms:modified>
</cp:coreProperties>
</file>

<file path=docProps/custom.xml><?xml version="1.0" encoding="utf-8"?>
<Properties xmlns="http://schemas.openxmlformats.org/officeDocument/2006/custom-properties" xmlns:vt="http://schemas.openxmlformats.org/officeDocument/2006/docPropsVTypes"/>
</file>