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0" w:name="X20b18d8cc1807af81f0c017611534aefef57033"/>
    <w:p>
      <w:pPr>
        <w:pStyle w:val="Heading1"/>
      </w:pPr>
      <w:r>
        <w:t xml:space="preserve">Strategic Marketing Plan for Attracting Elite Computer Engineers in Germany Frankfurt</w:t>
      </w:r>
    </w:p>
    <w:bookmarkStart w:id="20" w:name="executive-summary"/>
    <w:p>
      <w:pPr>
        <w:pStyle w:val="Heading2"/>
      </w:pPr>
      <w:r>
        <w:t xml:space="preserve">Executive Summary</w:t>
      </w:r>
    </w:p>
    <w:p>
      <w:pPr>
        <w:pStyle w:val="FirstParagraph"/>
      </w:pPr>
      <w:r>
        <w:t xml:space="preserve">This comprehensive Marketing Plan outlines a targeted strategy to position Frankfurt as the premier destination for world-class Computer Engineers within Germany's dynamic tech ecosystem. Capitalizing on Frankfurt's status as Europe's leading financial hub and emerging technology center, this plan details actionable initiatives to attract, retain, and engage top-tier computer engineering talent. With over 30% of German tech firms reporting critical shortages in specialized engineering roles (Statista, 2023), securing Computer Engineers has become a strategic imperative for Frankfurt-based enterprises. This plan leverages Frankfurt's unique advantages—including its global connectivity, financial sector innovation, and strong academic partnerships—to create an unparalleled talent acquisition ecosystem.</w:t>
      </w:r>
    </w:p>
    <w:bookmarkEnd w:id="20"/>
    <w:bookmarkStart w:id="21" w:name="Xdd5f6b9e87cc670ecf69b766929c909e7f3bc88"/>
    <w:p>
      <w:pPr>
        <w:pStyle w:val="Heading2"/>
      </w:pPr>
      <w:r>
        <w:t xml:space="preserve">Market Analysis: The Computer Engineer Demand Landscape in Germany Frankfurt</w:t>
      </w:r>
    </w:p>
    <w:p>
      <w:pPr>
        <w:pStyle w:val="FirstParagraph"/>
      </w:pPr>
      <w:r>
        <w:t xml:space="preserve">Frankfurt’s tech market presents exceptional opportunities for Computer Engineers seeking high-impact roles. As the heart of Germany's financial district, the city hosts over 300 banks and fintech firms requiring advanced computer engineering expertise for AI-driven trading systems, blockchain infrastructure, and cybersecurity frameworks. Industry reports indicate a 22% annual growth in demand for specialized Computer Engineers in Frankfurt (German IT Association 2024), outpacing national averages. However, supply remains constrained due to three key factors: limited local university output meeting industry standards, competition from Berlin and Munich, and insufficient employer branding that fails to highlight Frankfurt’s unique value proposition beyond finance.</w:t>
      </w:r>
    </w:p>
    <w:p>
      <w:pPr>
        <w:pStyle w:val="BodyText"/>
      </w:pPr>
      <w:r>
        <w:t xml:space="preserve">Crucially, German companies face cultural challenges in attracting international talent; 68% of Computer Engineers prioritize work-life balance and structured career progression over high salaries (LinkedIn Germany Talent Report). Frankfurt’s traditional corporate culture must evolve to reflect these modern expectations while maintaining its reputation for engineering excellence—a gap this Marketing Plan directly addresses.</w:t>
      </w:r>
    </w:p>
    <w:bookmarkEnd w:id="21"/>
    <w:bookmarkStart w:id="22" w:name="Xc8bf9a621c4b2528c8c0b65e51420a24978f361"/>
    <w:p>
      <w:pPr>
        <w:pStyle w:val="Heading2"/>
      </w:pPr>
      <w:r>
        <w:t xml:space="preserve">Target Audience: The Modern Computer Engineer in Frankfurt</w:t>
      </w:r>
    </w:p>
    <w:p>
      <w:pPr>
        <w:pStyle w:val="FirstParagraph"/>
      </w:pPr>
      <w:r>
        <w:t xml:space="preserve">Our primary audience comprises two segments:</w:t>
      </w:r>
    </w:p>
    <w:p>
      <w:pPr>
        <w:numPr>
          <w:ilvl w:val="0"/>
          <w:numId w:val="1001"/>
        </w:numPr>
        <w:pStyle w:val="Compact"/>
      </w:pPr>
      <w:r>
        <w:rPr>
          <w:bCs/>
          <w:b/>
        </w:rPr>
        <w:t xml:space="preserve">Senior Computer Engineers (5+ years):</w:t>
      </w:r>
      <w:r>
        <w:t xml:space="preserve"> </w:t>
      </w:r>
      <w:r>
        <w:t xml:space="preserve">Seeking leadership roles in high-stakes environments with clear impact on global financial systems. They prioritize stable employer brands, technical autonomy, and professional development opportunities.</w:t>
      </w:r>
    </w:p>
    <w:p>
      <w:pPr>
        <w:numPr>
          <w:ilvl w:val="0"/>
          <w:numId w:val="1001"/>
        </w:numPr>
        <w:pStyle w:val="Compact"/>
      </w:pPr>
      <w:r>
        <w:rPr>
          <w:bCs/>
          <w:b/>
        </w:rPr>
        <w:t xml:space="preserve">Early-Career Engineers (0-3 years):</w:t>
      </w:r>
      <w:r>
        <w:t xml:space="preserve"> </w:t>
      </w:r>
      <w:r>
        <w:t xml:space="preserve">Focused on mentorship, innovative projects (e.g., AI in banking), and integration into Frankfurt's vibrant tech community.</w:t>
      </w:r>
    </w:p>
    <w:p>
      <w:pPr>
        <w:pStyle w:val="FirstParagraph"/>
      </w:pPr>
      <w:r>
        <w:t xml:space="preserve">Geographically, we target both German graduates from institutions like Goethe University Frankfurt and TU Darmstadt, as well as international talent from EU hubs (Amsterdam, Zurich) and emerging markets. Crucially, 74% of Computer Engineers in Germany require fluency in German for senior roles—a factor we will address through integrated language support in our employer branding.</w:t>
      </w:r>
    </w:p>
    <w:bookmarkEnd w:id="22"/>
    <w:bookmarkStart w:id="23" w:name="X9b86409756d63040e6d2e2160c5dc95ce555921"/>
    <w:p>
      <w:pPr>
        <w:pStyle w:val="Heading2"/>
      </w:pPr>
      <w:r>
        <w:t xml:space="preserve">Unique Value Proposition: Why Frankfurt for Computer Engineers?</w:t>
      </w:r>
    </w:p>
    <w:p>
      <w:pPr>
        <w:pStyle w:val="FirstParagraph"/>
      </w:pPr>
      <w:r>
        <w:t xml:space="preserve">We position Frankfurt not merely as a city, but as the strategic nexus where Computer Engineering meets global finance and innovation. Our core value proposition centers on three pillars:</w:t>
      </w:r>
    </w:p>
    <w:p>
      <w:pPr>
        <w:numPr>
          <w:ilvl w:val="0"/>
          <w:numId w:val="1002"/>
        </w:numPr>
        <w:pStyle w:val="Compact"/>
      </w:pPr>
      <w:r>
        <w:rPr>
          <w:bCs/>
          <w:b/>
        </w:rPr>
        <w:t xml:space="preserve">Impact at Scale:</w:t>
      </w:r>
      <w:r>
        <w:t xml:space="preserve"> </w:t>
      </w:r>
      <w:r>
        <w:t xml:space="preserve">"Design systems processing €10B+ daily transactions across Europe."</w:t>
      </w:r>
    </w:p>
    <w:p>
      <w:pPr>
        <w:numPr>
          <w:ilvl w:val="0"/>
          <w:numId w:val="1002"/>
        </w:numPr>
        <w:pStyle w:val="Compact"/>
      </w:pPr>
      <w:r>
        <w:rPr>
          <w:bCs/>
          <w:b/>
        </w:rPr>
        <w:t xml:space="preserve">Career Acceleration:</w:t>
      </w:r>
      <w:r>
        <w:t xml:space="preserve"> </w:t>
      </w:r>
      <w:r>
        <w:t xml:space="preserve">"Mentorship from industry leaders with structured paths to CTO roles within 5 years."</w:t>
      </w:r>
    </w:p>
    <w:p>
      <w:pPr>
        <w:numPr>
          <w:ilvl w:val="0"/>
          <w:numId w:val="1002"/>
        </w:numPr>
        <w:pStyle w:val="Compact"/>
      </w:pPr>
      <w:r>
        <w:rPr>
          <w:bCs/>
          <w:b/>
        </w:rPr>
        <w:t xml:space="preserve">Lifestyle Synergy:</w:t>
      </w:r>
      <w:r>
        <w:t xml:space="preserve"> </w:t>
      </w:r>
      <w:r>
        <w:t xml:space="preserve">"Live in Germany’s most connected city with 12-hour global business access, cultural diversity, and world-class public transport."</w:t>
      </w:r>
    </w:p>
    <w:p>
      <w:pPr>
        <w:pStyle w:val="FirstParagraph"/>
      </w:pPr>
      <w:r>
        <w:t xml:space="preserve">This contrasts sharply with generic "high salary" pitches. For instance, we'll showcase how Computer Engineers at Deutsche Börse develop blockchain solutions for European markets—projects that carry immediate real-world impact unlike isolated tech lab work elsewhere.</w:t>
      </w:r>
    </w:p>
    <w:bookmarkEnd w:id="23"/>
    <w:bookmarkStart w:id="27" w:name="X0b9058447638ab39f3a262e1154249614328cd5"/>
    <w:p>
      <w:pPr>
        <w:pStyle w:val="Heading2"/>
      </w:pPr>
      <w:r>
        <w:t xml:space="preserve">Marketing Strategy: Frankfurt-Specific Tactics</w:t>
      </w:r>
    </w:p>
    <w:p>
      <w:pPr>
        <w:pStyle w:val="FirstParagraph"/>
      </w:pPr>
      <w:r>
        <w:t xml:space="preserve">Our 18-month strategy employs integrated channels tailored to Frankfurt’s market dynamics:</w:t>
      </w:r>
    </w:p>
    <w:bookmarkStart w:id="24" w:name="a.-digital-employer-branding"/>
    <w:p>
      <w:pPr>
        <w:pStyle w:val="Heading3"/>
      </w:pPr>
      <w:r>
        <w:t xml:space="preserve">A. Digital Employer Branding</w:t>
      </w:r>
    </w:p>
    <w:p>
      <w:pPr>
        <w:numPr>
          <w:ilvl w:val="0"/>
          <w:numId w:val="1003"/>
        </w:numPr>
        <w:pStyle w:val="Compact"/>
      </w:pPr>
      <w:r>
        <w:rPr>
          <w:bCs/>
          <w:b/>
        </w:rPr>
        <w:t xml:space="preserve">Frankfurt Tech Talent Hub:</w:t>
      </w:r>
      <w:r>
        <w:t xml:space="preserve"> </w:t>
      </w:r>
      <w:r>
        <w:t xml:space="preserve">A dedicated microsite featuring "Day in the Life" videos of Computer Engineers at Commerzbank, DWS, and Fintech Valley startups. Content will highlight German language support programs and Frankfurt’s cultural perks (e.g., "40-min commute to Rhine River parks").</w:t>
      </w:r>
    </w:p>
    <w:p>
      <w:pPr>
        <w:numPr>
          <w:ilvl w:val="0"/>
          <w:numId w:val="1003"/>
        </w:numPr>
        <w:pStyle w:val="Compact"/>
      </w:pPr>
      <w:r>
        <w:rPr>
          <w:bCs/>
          <w:b/>
        </w:rPr>
        <w:t xml:space="preserve">LinkedIn Campaigns:</w:t>
      </w:r>
      <w:r>
        <w:t xml:space="preserve"> </w:t>
      </w:r>
      <w:r>
        <w:t xml:space="preserve">Geo-targeted ads for Computer Engineers with job titles like "AI Systems Architect" in Frankfurt, emphasizing salary ranges and work-life balance stats from local employers.</w:t>
      </w:r>
    </w:p>
    <w:bookmarkEnd w:id="24"/>
    <w:bookmarkStart w:id="25" w:name="b.-university-community-partnerships"/>
    <w:p>
      <w:pPr>
        <w:pStyle w:val="Heading3"/>
      </w:pPr>
      <w:r>
        <w:t xml:space="preserve">B. University &amp; Community Partnerships</w:t>
      </w:r>
    </w:p>
    <w:p>
      <w:pPr>
        <w:numPr>
          <w:ilvl w:val="0"/>
          <w:numId w:val="1004"/>
        </w:numPr>
        <w:pStyle w:val="Compact"/>
      </w:pPr>
      <w:r>
        <w:rPr>
          <w:bCs/>
          <w:b/>
        </w:rPr>
        <w:t xml:space="preserve">Goethe University Frankfurt Collaboration:</w:t>
      </w:r>
      <w:r>
        <w:t xml:space="preserve"> </w:t>
      </w:r>
      <w:r>
        <w:t xml:space="preserve">Co-create a "Frankfurt Tech Fellowship" offering paid internships with leading firms, including German-language technical training modules. This directly addresses the talent pipeline gap.</w:t>
      </w:r>
    </w:p>
    <w:p>
      <w:pPr>
        <w:numPr>
          <w:ilvl w:val="0"/>
          <w:numId w:val="1004"/>
        </w:numPr>
        <w:pStyle w:val="Compact"/>
      </w:pPr>
      <w:r>
        <w:rPr>
          <w:bCs/>
          <w:b/>
        </w:rPr>
        <w:t xml:space="preserve">Fintech Valley Events:</w:t>
      </w:r>
      <w:r>
        <w:t xml:space="preserve"> </w:t>
      </w:r>
      <w:r>
        <w:t xml:space="preserve">Host quarterly "Computer Engineering Innovation Days" at the Frankfurt Messe, featuring hackathons on real banking challenges (e.g., "Build a Fraud Detection Model for Cross-Border Payments").</w:t>
      </w:r>
    </w:p>
    <w:bookmarkEnd w:id="25"/>
    <w:bookmarkStart w:id="26" w:name="c.-competitive-differentiation"/>
    <w:p>
      <w:pPr>
        <w:pStyle w:val="Heading3"/>
      </w:pPr>
      <w:r>
        <w:t xml:space="preserve">C. Competitive Differentiation</w:t>
      </w:r>
    </w:p>
    <w:p>
      <w:pPr>
        <w:pStyle w:val="FirstParagraph"/>
      </w:pPr>
      <w:r>
        <w:t xml:space="preserve">We counter competitors by emphasizing Frankfurt’s unique ecosystem: Unlike Berlin's startup culture or Munich's automotive tech, Frankfurt offers Computer Engineers the rare opportunity to build systems directly powering global financial markets—combining technical rigor with high-visibility impact. Our messaging will consistently use phrases like "Engineering the Future of European Finance from Frankfurt" to reinforce this positioning.</w:t>
      </w:r>
    </w:p>
    <w:bookmarkEnd w:id="26"/>
    <w:bookmarkEnd w:id="27"/>
    <w:bookmarkStart w:id="28" w:name="budget-allocation-kpis"/>
    <w:p>
      <w:pPr>
        <w:pStyle w:val="Heading2"/>
      </w:pPr>
      <w:r>
        <w:t xml:space="preserve">Budget Allocation &amp; KPIs</w:t>
      </w:r>
    </w:p>
    <w:p>
      <w:pPr>
        <w:pStyle w:val="FirstParagraph"/>
      </w:pPr>
      <w:r>
        <w:t xml:space="preserve">Total investment: €485,000 over 18 months. Allocation breakdown:</w:t>
      </w:r>
    </w:p>
    <w:p>
      <w:pPr>
        <w:numPr>
          <w:ilvl w:val="0"/>
          <w:numId w:val="1005"/>
        </w:numPr>
        <w:pStyle w:val="Compact"/>
      </w:pPr>
      <w:r>
        <w:t xml:space="preserve">35% Digital Campaigns (Website, Social Ads)</w:t>
      </w:r>
    </w:p>
    <w:p>
      <w:pPr>
        <w:numPr>
          <w:ilvl w:val="0"/>
          <w:numId w:val="1005"/>
        </w:numPr>
        <w:pStyle w:val="Compact"/>
      </w:pPr>
      <w:r>
        <w:t xml:space="preserve">30% University/Event Partnerships</w:t>
      </w:r>
    </w:p>
    <w:p>
      <w:pPr>
        <w:numPr>
          <w:ilvl w:val="0"/>
          <w:numId w:val="1005"/>
        </w:numPr>
        <w:pStyle w:val="Compact"/>
      </w:pPr>
      <w:r>
        <w:t xml:space="preserve">25% Content Production (Videos, Case Studies)</w:t>
      </w:r>
    </w:p>
    <w:p>
      <w:pPr>
        <w:numPr>
          <w:ilvl w:val="0"/>
          <w:numId w:val="1005"/>
        </w:numPr>
        <w:pStyle w:val="Compact"/>
      </w:pPr>
      <w:r>
        <w:t xml:space="preserve">10% Analytics &amp; Optimization</w:t>
      </w:r>
    </w:p>
    <w:p>
      <w:pPr>
        <w:pStyle w:val="FirstParagraph"/>
      </w:pPr>
      <w:r>
        <w:t xml:space="preserve">KPIs will measure success through:</w:t>
      </w:r>
    </w:p>
    <w:p>
      <w:pPr>
        <w:numPr>
          <w:ilvl w:val="0"/>
          <w:numId w:val="1006"/>
        </w:numPr>
        <w:pStyle w:val="Compact"/>
      </w:pPr>
      <w:r>
        <w:rPr>
          <w:bCs/>
          <w:b/>
        </w:rPr>
        <w:t xml:space="preserve">Talent Pipeline Growth:</w:t>
      </w:r>
      <w:r>
        <w:t xml:space="preserve"> </w:t>
      </w:r>
      <w:r>
        <w:t xml:space="preserve">40% increase in qualified Computer Engineer applicants from Frankfurt-based firms within 12 months.</w:t>
      </w:r>
    </w:p>
    <w:p>
      <w:pPr>
        <w:numPr>
          <w:ilvl w:val="0"/>
          <w:numId w:val="1006"/>
        </w:numPr>
        <w:pStyle w:val="Compact"/>
      </w:pPr>
      <w:r>
        <w:rPr>
          <w:bCs/>
          <w:b/>
        </w:rPr>
        <w:t xml:space="preserve">Retention Rate:</w:t>
      </w:r>
      <w:r>
        <w:t xml:space="preserve"> </w:t>
      </w:r>
      <w:r>
        <w:t xml:space="preserve">Achieving &gt;85% 1-year retention for recruited Computer Engineers (vs. industry average of 72%).</w:t>
      </w:r>
    </w:p>
    <w:p>
      <w:pPr>
        <w:numPr>
          <w:ilvl w:val="0"/>
          <w:numId w:val="1006"/>
        </w:numPr>
        <w:pStyle w:val="Compact"/>
      </w:pPr>
      <w:r>
        <w:rPr>
          <w:bCs/>
          <w:b/>
        </w:rPr>
        <w:t xml:space="preserve">Brand Perception:</w:t>
      </w:r>
      <w:r>
        <w:t xml:space="preserve"> </w:t>
      </w:r>
      <w:r>
        <w:t xml:space="preserve">+25-point increase in "Top Employer" ranking for Frankfurt tech firms in German talent surveys.</w:t>
      </w:r>
    </w:p>
    <w:bookmarkEnd w:id="28"/>
    <w:bookmarkStart w:id="29" w:name="conclusion-the-frankfurt-advantage"/>
    <w:p>
      <w:pPr>
        <w:pStyle w:val="Heading2"/>
      </w:pPr>
      <w:r>
        <w:t xml:space="preserve">Conclusion: The Frankfurt Advantage</w:t>
      </w:r>
    </w:p>
    <w:p>
      <w:pPr>
        <w:pStyle w:val="FirstParagraph"/>
      </w:pPr>
      <w:r>
        <w:t xml:space="preserve">This Marketing Plan transforms the narrative around Computer Engineering careers in Germany Frankfurt from a geographic location to a strategic professional destination. By aligning employer messaging with what today’s Computer Engineers truly value—impact, growth, and cultural fit—we position Frankfurt not just as a city for tech talent, but as the indispensable engine driving Europe’s next-generation financial technology infrastructure. The plan delivers actionable tactics that directly address Frankfurt’s market gaps while celebrating the unique ecosystem where Computer Engineering intersects with global finance. As Germany's tech landscape evolves rapidly, this strategy ensures Frankfurt remains at the forefront of attracting and retaining elite Computer Engineers—proving that in Germany Frankfurt, engineering excellence isn’t just a career; it’s a legacy.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Top Computer Engineers in Germany Frankfurt</dc:title>
  <dc:creator/>
  <dc:language>en</dc:language>
  <cp:keywords/>
  <dcterms:created xsi:type="dcterms:W3CDTF">2025-12-11T13:38:23Z</dcterms:created>
  <dcterms:modified xsi:type="dcterms:W3CDTF">2025-12-11T13:38:23Z</dcterms:modified>
</cp:coreProperties>
</file>

<file path=docProps/custom.xml><?xml version="1.0" encoding="utf-8"?>
<Properties xmlns="http://schemas.openxmlformats.org/officeDocument/2006/custom-properties" xmlns:vt="http://schemas.openxmlformats.org/officeDocument/2006/docPropsVTypes"/>
</file>