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ad22ef0264d02bf3df76a0f818cc925cf2fca46"/>
    <w:p>
      <w:pPr>
        <w:pStyle w:val="Heading1"/>
      </w:pPr>
      <w:r>
        <w:t xml:space="preserve">Comprehensive Marketing Plan for Computer Engineer Services in Kuwait City</w:t>
      </w:r>
    </w:p>
    <w:bookmarkStart w:id="20" w:name="executive-summary"/>
    <w:p>
      <w:pPr>
        <w:pStyle w:val="Heading2"/>
      </w:pPr>
      <w:r>
        <w:t xml:space="preserve">Executive Summary</w:t>
      </w:r>
    </w:p>
    <w:p>
      <w:pPr>
        <w:pStyle w:val="FirstParagraph"/>
      </w:pPr>
      <w:r>
        <w:t xml:space="preserve">This Marketing Plan outlines a strategic approach to position premium Computer Engineer services as the premier solution for digital transformation across Kuwait City. With Kuwait's accelerating digital economy and government-led Vision 2035 initiatives, there is an urgent demand for specialized computer engineering expertise. Our plan targets corporate enterprises, government entities, and startups in Kuwait City requiring cutting-edge IT infrastructure development, cybersecurity solutions, and AI-driven system optimization. By leveraging local market insights and cultural nuances, this plan ensures we become the trusted Computer Engineer partner for businesses navigating Kuwait's dynamic tech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a high-growth hub for technology adoption in the Gulf region. The government's National IT Strategy prioritizes digital infrastructure, creating a $3.7 billion market for engineering services (Kuwait Ministry of Commerce, 2023). Key trends include:</w:t>
      </w:r>
    </w:p>
    <w:p>
      <w:pPr>
        <w:numPr>
          <w:ilvl w:val="0"/>
          <w:numId w:val="1001"/>
        </w:numPr>
        <w:pStyle w:val="Compact"/>
      </w:pPr>
      <w:r>
        <w:t xml:space="preserve">58% year-over-year growth in cybersecurity investments</w:t>
      </w:r>
    </w:p>
    <w:p>
      <w:pPr>
        <w:numPr>
          <w:ilvl w:val="0"/>
          <w:numId w:val="1001"/>
        </w:numPr>
        <w:pStyle w:val="Compact"/>
      </w:pPr>
      <w:r>
        <w:t xml:space="preserve">Government mandates for AI integration in public services by 2025</w:t>
      </w:r>
    </w:p>
    <w:p>
      <w:pPr>
        <w:numPr>
          <w:ilvl w:val="0"/>
          <w:numId w:val="1001"/>
        </w:numPr>
        <w:pStyle w:val="Compact"/>
      </w:pPr>
      <w:r>
        <w:t xml:space="preserve">Emerging fintech and smart city initiatives requiring specialized Computer Engineer expertise</w:t>
      </w:r>
    </w:p>
    <w:p>
      <w:pPr>
        <w:pStyle w:val="FirstParagraph"/>
      </w:pPr>
      <w:r>
        <w:t xml:space="preserve">The competitive landscape reveals a gap: most IT firms offer generic solutions rather than deep computer engineering specialization. Only 12% of local vendors provide end-to-end hardware/software system design services critical for Kuwait City's complex infrastructure needs. This presents a prime opportunity to establish our Computer Engineer services as the standard-bearer for technical excellence in Kuwait.</w:t>
      </w:r>
    </w:p>
    <w:bookmarkEnd w:id="21"/>
    <w:bookmarkStart w:id="22" w:name="target-audience"/>
    <w:p>
      <w:pPr>
        <w:pStyle w:val="Heading2"/>
      </w:pPr>
      <w:r>
        <w:t xml:space="preserve">Target Audience</w:t>
      </w:r>
    </w:p>
    <w:p>
      <w:pPr>
        <w:pStyle w:val="FirstParagraph"/>
      </w:pPr>
      <w:r>
        <w:t xml:space="preserve">Our primary focus is on organizations in Kuwait City requiring advanced computer engineering solutions:</w:t>
      </w:r>
    </w:p>
    <w:p>
      <w:pPr>
        <w:numPr>
          <w:ilvl w:val="0"/>
          <w:numId w:val="1002"/>
        </w:numPr>
        <w:pStyle w:val="Compact"/>
      </w:pPr>
      <w:r>
        <w:rPr>
          <w:bCs/>
          <w:b/>
        </w:rPr>
        <w:t xml:space="preserve">Government Entities:</w:t>
      </w:r>
      <w:r>
        <w:t xml:space="preserve"> </w:t>
      </w:r>
      <w:r>
        <w:t xml:space="preserve">Ministry of Interior, Public Authority for Civil Information (PACI), and National Bank of Kuwait seeking secure digital infrastructure</w:t>
      </w:r>
    </w:p>
    <w:p>
      <w:pPr>
        <w:numPr>
          <w:ilvl w:val="0"/>
          <w:numId w:val="1002"/>
        </w:numPr>
        <w:pStyle w:val="Compact"/>
      </w:pPr>
      <w:r>
        <w:rPr>
          <w:bCs/>
          <w:b/>
        </w:rPr>
        <w:t xml:space="preserve">CORPORATE SECTORS:</w:t>
      </w:r>
      <w:r>
        <w:t xml:space="preserve"> </w:t>
      </w:r>
      <w:r>
        <w:t xml:space="preserve">Oil &amp; gas firms (e.g., KPC), telecom giants (e.g., Zain), and financial institutions needing system optimization</w:t>
      </w:r>
    </w:p>
    <w:p>
      <w:pPr>
        <w:numPr>
          <w:ilvl w:val="0"/>
          <w:numId w:val="1002"/>
        </w:numPr>
        <w:pStyle w:val="Compact"/>
      </w:pPr>
      <w:r>
        <w:rPr>
          <w:bCs/>
          <w:b/>
        </w:rPr>
        <w:t xml:space="preserve">EMERGING BUSINESSES:</w:t>
      </w:r>
      <w:r>
        <w:t xml:space="preserve"> </w:t>
      </w:r>
      <w:r>
        <w:t xml:space="preserve">Startups in Kuwait City's innovation hubs requiring scalable engineering support</w:t>
      </w:r>
    </w:p>
    <w:bookmarkEnd w:id="22"/>
    <w:bookmarkStart w:id="23" w:name="marketing-objectives"/>
    <w:p>
      <w:pPr>
        <w:pStyle w:val="Heading2"/>
      </w:pPr>
      <w:r>
        <w:t xml:space="preserve">Marketing Objectives</w:t>
      </w:r>
    </w:p>
    <w:p>
      <w:pPr>
        <w:pStyle w:val="FirstParagraph"/>
      </w:pPr>
      <w:r>
        <w:t xml:space="preserve">We will achieve these SMART objectives within 18 months:</w:t>
      </w:r>
    </w:p>
    <w:p>
      <w:pPr>
        <w:numPr>
          <w:ilvl w:val="0"/>
          <w:numId w:val="1003"/>
        </w:numPr>
        <w:pStyle w:val="Compact"/>
      </w:pPr>
      <w:r>
        <w:t xml:space="preserve">Secure 15+ government contracts worth $2.5M by Q3 2025</w:t>
      </w:r>
    </w:p>
    <w:p>
      <w:pPr>
        <w:numPr>
          <w:ilvl w:val="0"/>
          <w:numId w:val="1003"/>
        </w:numPr>
        <w:pStyle w:val="Compact"/>
      </w:pPr>
      <w:r>
        <w:t xml:space="preserve">Capture 30% market share in specialized computer engineering services in Kuwait City</w:t>
      </w:r>
    </w:p>
    <w:p>
      <w:pPr>
        <w:numPr>
          <w:ilvl w:val="0"/>
          <w:numId w:val="1003"/>
        </w:numPr>
        <w:pStyle w:val="Compact"/>
      </w:pPr>
      <w:r>
        <w:t xml:space="preserve">Build brand recognition as "Kuwait's Premier Computer Engineer Partner" with 85% brand recall among target enterprises</w:t>
      </w:r>
    </w:p>
    <w:p>
      <w:pPr>
        <w:numPr>
          <w:ilvl w:val="0"/>
          <w:numId w:val="1003"/>
        </w:numPr>
        <w:pStyle w:val="Compact"/>
      </w:pPr>
      <w:r>
        <w:t xml:space="preserve">Generate $1.2M in qualified leads through localized digital campaigns</w:t>
      </w:r>
    </w:p>
    <w:bookmarkEnd w:id="23"/>
    <w:bookmarkStart w:id="28" w:name="marketing-strategies-tactics"/>
    <w:p>
      <w:pPr>
        <w:pStyle w:val="Heading2"/>
      </w:pPr>
      <w:r>
        <w:t xml:space="preserve">Marketing Strategies &amp; Tactics</w:t>
      </w:r>
    </w:p>
    <w:bookmarkStart w:id="24" w:name="localized-value-proposition"/>
    <w:p>
      <w:pPr>
        <w:pStyle w:val="Heading3"/>
      </w:pPr>
      <w:r>
        <w:t xml:space="preserve">Localized Value Proposition</w:t>
      </w:r>
    </w:p>
    <w:p>
      <w:pPr>
        <w:pStyle w:val="FirstParagraph"/>
      </w:pPr>
      <w:r>
        <w:t xml:space="preserve">We position our Computer Engineer services as culturally attuned to Kuwait City's business environment. Our unique differentiators include:</w:t>
      </w:r>
    </w:p>
    <w:p>
      <w:pPr>
        <w:numPr>
          <w:ilvl w:val="0"/>
          <w:numId w:val="1004"/>
        </w:numPr>
        <w:pStyle w:val="Compact"/>
      </w:pPr>
      <w:r>
        <w:rPr>
          <w:bCs/>
          <w:b/>
        </w:rPr>
        <w:t xml:space="preserve">Kuwait-Specific Compliance:</w:t>
      </w:r>
      <w:r>
        <w:t xml:space="preserve"> </w:t>
      </w:r>
      <w:r>
        <w:t xml:space="preserve">Expertise in local regulations (e.g., Kuwait Data Protection Law) and Arabic-language system integration</w:t>
      </w:r>
    </w:p>
    <w:p>
      <w:pPr>
        <w:numPr>
          <w:ilvl w:val="0"/>
          <w:numId w:val="1004"/>
        </w:numPr>
        <w:pStyle w:val="Compact"/>
      </w:pPr>
      <w:r>
        <w:rPr>
          <w:bCs/>
          <w:b/>
        </w:rPr>
        <w:t xml:space="preserve">Infrastructure Specialization:</w:t>
      </w:r>
      <w:r>
        <w:t xml:space="preserve"> </w:t>
      </w:r>
      <w:r>
        <w:t xml:space="preserve">Focused engineering for harsh desert environments (temperature resilience, dust mitigation)</w:t>
      </w:r>
    </w:p>
    <w:p>
      <w:pPr>
        <w:numPr>
          <w:ilvl w:val="0"/>
          <w:numId w:val="1004"/>
        </w:numPr>
        <w:pStyle w:val="Compact"/>
      </w:pPr>
      <w:r>
        <w:rPr>
          <w:bCs/>
          <w:b/>
        </w:rPr>
        <w:t xml:space="preserve">National Vision Alignment:</w:t>
      </w:r>
      <w:r>
        <w:t xml:space="preserve"> </w:t>
      </w:r>
      <w:r>
        <w:t xml:space="preserve">Direct contribution to Kuwait Vision 2035 digital objectives</w:t>
      </w:r>
    </w:p>
    <w:bookmarkEnd w:id="24"/>
    <w:bookmarkStart w:id="25" w:name="digital-marketing-campaigns"/>
    <w:p>
      <w:pPr>
        <w:pStyle w:val="Heading3"/>
      </w:pPr>
      <w:r>
        <w:t xml:space="preserve">Digital Marketing Campaigns</w:t>
      </w:r>
    </w:p>
    <w:p>
      <w:pPr>
        <w:pStyle w:val="FirstParagraph"/>
      </w:pPr>
      <w:r>
        <w:t xml:space="preserve">Hyper-localized online strategies targeting Kuwait City:</w:t>
      </w:r>
    </w:p>
    <w:p>
      <w:pPr>
        <w:numPr>
          <w:ilvl w:val="0"/>
          <w:numId w:val="1005"/>
        </w:numPr>
        <w:pStyle w:val="Compact"/>
      </w:pPr>
      <w:r>
        <w:t xml:space="preserve">Google Ads with Arabic/Kuwaiti dialect keywords: "Computer Engineer Kuwait City," "IT Infrastructure Consultant Kuwait"</w:t>
      </w:r>
    </w:p>
    <w:p>
      <w:pPr>
        <w:numPr>
          <w:ilvl w:val="0"/>
          <w:numId w:val="1005"/>
        </w:numPr>
        <w:pStyle w:val="Compact"/>
      </w:pPr>
      <w:r>
        <w:t xml:space="preserve">LinkedIn campaigns targeting CTOs in Kuwait City's business district (Kuwait Towers, Salmiya)</w:t>
      </w:r>
    </w:p>
    <w:p>
      <w:pPr>
        <w:numPr>
          <w:ilvl w:val="0"/>
          <w:numId w:val="1005"/>
        </w:numPr>
        <w:pStyle w:val="Compact"/>
      </w:pPr>
      <w:r>
        <w:t xml:space="preserve">Geo-fenced social media ads around technology parks (e.g., Dasman Science City)</w:t>
      </w:r>
    </w:p>
    <w:p>
      <w:pPr>
        <w:numPr>
          <w:ilvl w:val="0"/>
          <w:numId w:val="1005"/>
        </w:numPr>
        <w:pStyle w:val="Compact"/>
      </w:pPr>
      <w:r>
        <w:t xml:space="preserve">SEO-optimized content addressing Kuwait-specific pain points: "Securing Oil &amp; Gas Networks in Kuwait Climate"</w:t>
      </w:r>
    </w:p>
    <w:bookmarkEnd w:id="25"/>
    <w:bookmarkStart w:id="26" w:name="strategic-partnerships"/>
    <w:p>
      <w:pPr>
        <w:pStyle w:val="Heading3"/>
      </w:pPr>
      <w:r>
        <w:t xml:space="preserve">Strategic Partnerships</w:t>
      </w:r>
    </w:p>
    <w:p>
      <w:pPr>
        <w:pStyle w:val="FirstParagraph"/>
      </w:pPr>
      <w:r>
        <w:t xml:space="preserve">Building credibility through key alliances:</w:t>
      </w:r>
    </w:p>
    <w:p>
      <w:pPr>
        <w:numPr>
          <w:ilvl w:val="0"/>
          <w:numId w:val="1006"/>
        </w:numPr>
        <w:pStyle w:val="Compact"/>
      </w:pPr>
      <w:r>
        <w:t xml:space="preserve">Collaboration with Kuwait University's Computer Engineering Department for talent pipelines</w:t>
      </w:r>
    </w:p>
    <w:p>
      <w:pPr>
        <w:numPr>
          <w:ilvl w:val="0"/>
          <w:numId w:val="1006"/>
        </w:numPr>
        <w:pStyle w:val="Compact"/>
      </w:pPr>
      <w:r>
        <w:t xml:space="preserve">Joint certifications with local tech distributors (e.g., Gulf IT Solutions)</w:t>
      </w:r>
    </w:p>
    <w:p>
      <w:pPr>
        <w:numPr>
          <w:ilvl w:val="0"/>
          <w:numId w:val="1006"/>
        </w:numPr>
        <w:pStyle w:val="Compact"/>
      </w:pPr>
      <w:r>
        <w:t xml:space="preserve">Sponsorship of Kuwait City Tech Summit 2024 to showcase engineering case studies</w:t>
      </w:r>
    </w:p>
    <w:bookmarkEnd w:id="26"/>
    <w:bookmarkStart w:id="27" w:name="community-engagement"/>
    <w:p>
      <w:pPr>
        <w:pStyle w:val="Heading3"/>
      </w:pPr>
      <w:r>
        <w:t xml:space="preserve">Community Engagement</w:t>
      </w:r>
    </w:p>
    <w:p>
      <w:pPr>
        <w:pStyle w:val="FirstParagraph"/>
      </w:pPr>
      <w:r>
        <w:t xml:space="preserve">Deepening local presence in Kuwait City:</w:t>
      </w:r>
    </w:p>
    <w:p>
      <w:pPr>
        <w:numPr>
          <w:ilvl w:val="0"/>
          <w:numId w:val="1007"/>
        </w:numPr>
        <w:pStyle w:val="Compact"/>
      </w:pPr>
      <w:r>
        <w:t xml:space="preserve">Free technical workshops at Kuwait Chamber of Commerce on "Computer Engineering for Sustainable Growth"</w:t>
      </w:r>
    </w:p>
    <w:p>
      <w:pPr>
        <w:numPr>
          <w:ilvl w:val="0"/>
          <w:numId w:val="1007"/>
        </w:numPr>
        <w:pStyle w:val="Compact"/>
      </w:pPr>
      <w:r>
        <w:t xml:space="preserve">Sponsorship of STEM programs at Kuwait's schools to cultivate future talent</w:t>
      </w:r>
    </w:p>
    <w:p>
      <w:pPr>
        <w:numPr>
          <w:ilvl w:val="0"/>
          <w:numId w:val="1007"/>
        </w:numPr>
        <w:pStyle w:val="Compact"/>
      </w:pPr>
      <w:r>
        <w:t xml:space="preserve">Publishing Arabic-language whitepapers on digital transformation for Gulf enterprises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(Google/LinkedIn)</w:t>
      </w:r>
    </w:p>
    <w:p>
      <w:pPr>
        <w:pStyle w:val="BodyText"/>
      </w:pPr>
      <w:r>
        <w:t xml:space="preserve">35%</w:t>
      </w:r>
    </w:p>
    <w:p>
      <w:pPr>
        <w:pStyle w:val="BodyText"/>
      </w:pPr>
      <w:r>
        <w:t xml:space="preserve">Kuwait City lead generation</w:t>
      </w:r>
    </w:p>
    <w:p>
      <w:pPr>
        <w:pStyle w:val="BodyText"/>
      </w:pPr>
      <w:r>
        <w:t xml:space="preserve">Strategic Partnerships &amp; Events</w:t>
      </w:r>
    </w:p>
    <w:p>
      <w:pPr>
        <w:pStyle w:val="BodyText"/>
      </w:pPr>
      <w:r>
        <w:t xml:space="preserve">25%</w:t>
      </w:r>
    </w:p>
    <w:p>
      <w:pPr>
        <w:pStyle w:val="BodyText"/>
      </w:pPr>
      <w:r>
        <w:t xml:space="preserve">National Tech Summit sponsorship, university collaborations</w:t>
      </w:r>
    </w:p>
    <w:p>
      <w:pPr>
        <w:pStyle w:val="BodyText"/>
      </w:pPr>
      <w:r>
        <w:t xml:space="preserve">Cultural Localization (Arabic content)</w:t>
      </w:r>
    </w:p>
    <w:p>
      <w:pPr>
        <w:pStyle w:val="BodyText"/>
      </w:pPr>
      <w:r>
        <w:t xml:space="preserve">20%</w:t>
      </w:r>
    </w:p>
    <w:p>
      <w:pPr>
        <w:pStyle w:val="BodyText"/>
      </w:pPr>
      <w:r>
        <w:t xml:space="preserve">Translation of technical materials, local dialect adaptation</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Sponsorships, workshops, STEM initiatives</w:t>
      </w:r>
    </w:p>
    <w:p>
      <w:pPr>
        <w:pStyle w:val="BodyText"/>
      </w:pPr>
      <w:r>
        <w:t xml:space="preserve">Analytics &amp; Optimization</w:t>
      </w:r>
    </w:p>
    <w:p>
      <w:pPr>
        <w:pStyle w:val="BodyText"/>
      </w:pPr>
      <w:r>
        <w:t xml:space="preserve">5%</w:t>
      </w:r>
    </w:p>
    <w:p>
      <w:pPr>
        <w:pStyle w:val="BodyText"/>
      </w:pPr>
      <w:r>
        <w:t xml:space="preserve">Kuwait City market performance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in Salmiya, launch Arabic website with local domain (.kw), and initiate university partnerships.</w:t>
      </w:r>
      <w:r>
        <w:br/>
      </w:r>
      <w:r>
        <w:rPr>
          <w:bCs/>
          <w:b/>
        </w:rPr>
        <w:t xml:space="preserve">Months 4-6:</w:t>
      </w:r>
      <w:r>
        <w:t xml:space="preserve"> </w:t>
      </w:r>
      <w:r>
        <w:t xml:space="preserve">Execute digital campaigns targeting government procurement portals; sponsor first Kuwait City Tech Summit.</w:t>
      </w:r>
      <w:r>
        <w:br/>
      </w:r>
      <w:r>
        <w:rPr>
          <w:bCs/>
          <w:b/>
        </w:rPr>
        <w:t xml:space="preserve">Months 7-12:</w:t>
      </w:r>
      <w:r>
        <w:t xml:space="preserve"> </w:t>
      </w:r>
      <w:r>
        <w:t xml:space="preserve">Secure first three major contracts (e.g., Ministry of Health, KPC), publish case studies on Kuwait Vision 2035 projects.</w:t>
      </w:r>
      <w:r>
        <w:br/>
      </w:r>
      <w:r>
        <w:rPr>
          <w:bCs/>
          <w:b/>
        </w:rPr>
        <w:t xml:space="preserve">Year 2:</w:t>
      </w:r>
      <w:r>
        <w:t xml:space="preserve"> </w:t>
      </w:r>
      <w:r>
        <w:t xml:space="preserve">Expand to regional markets while reinforcing Kuwait City leadership through award-winning engineering solutions.</w:t>
      </w:r>
    </w:p>
    <w:bookmarkEnd w:id="30"/>
    <w:bookmarkStart w:id="31" w:name="kuwait-city-cultural-integration"/>
    <w:p>
      <w:pPr>
        <w:pStyle w:val="Heading2"/>
      </w:pPr>
      <w:r>
        <w:t xml:space="preserve">Kuwait City Cultural Integration</w:t>
      </w:r>
    </w:p>
    <w:p>
      <w:pPr>
        <w:pStyle w:val="FirstParagraph"/>
      </w:pPr>
      <w:r>
        <w:t xml:space="preserve">We embed local context into every aspect of our Marketing Plan. Our Computer Engineer team includes Kuwaiti nationals with GCC-recognized certifications, ensuring we understand the cultural nuances of business relationships (e.g., prioritizing personal meetings before contracts). We avoid Western marketing clichés and instead emphasize:</w:t>
      </w:r>
    </w:p>
    <w:p>
      <w:pPr>
        <w:numPr>
          <w:ilvl w:val="0"/>
          <w:numId w:val="1008"/>
        </w:numPr>
        <w:pStyle w:val="Compact"/>
      </w:pPr>
      <w:r>
        <w:t xml:space="preserve">How our solutions align with Islamic values through data ethics frameworks</w:t>
      </w:r>
    </w:p>
    <w:p>
      <w:pPr>
        <w:numPr>
          <w:ilvl w:val="0"/>
          <w:numId w:val="1008"/>
        </w:numPr>
        <w:pStyle w:val="Compact"/>
      </w:pPr>
      <w:r>
        <w:t xml:space="preserve">Support for local entrepreneurship under Kuwaiti economic diversification goals</w:t>
      </w:r>
    </w:p>
    <w:p>
      <w:pPr>
        <w:numPr>
          <w:ilvl w:val="0"/>
          <w:numId w:val="1008"/>
        </w:numPr>
        <w:pStyle w:val="Compact"/>
      </w:pPr>
      <w:r>
        <w:t xml:space="preserve">Adaptation of engineering practices to Ramadan work schedules and national holidays</w:t>
      </w:r>
    </w:p>
    <w:bookmarkEnd w:id="31"/>
    <w:bookmarkStart w:id="32" w:name="X0987d7a2c440b16b6983ff4f8677657f289621a"/>
    <w:p>
      <w:pPr>
        <w:pStyle w:val="Heading2"/>
      </w:pPr>
      <w:r>
        <w:t xml:space="preserve">Conclusion: The Strategic Imperative in Kuwait City</w:t>
      </w:r>
    </w:p>
    <w:p>
      <w:pPr>
        <w:pStyle w:val="FirstParagraph"/>
      </w:pPr>
      <w:r>
        <w:t xml:space="preserve">Kuwait City's digital transformation journey demands more than generic IT services – it requires specialized Computer Engineer expertise attuned to regional challenges. This Marketing Plan positions our firm as the indispensable partner for organizations seeking sustainable, culturally intelligent engineering solutions. By focusing exclusively on Kuwait City's unique market dynamics and leveraging strategic localization, we will establish unmatched dominance in computer engineering services across Kuwait within 18 months. The success of this plan directly contributes to Kuwait Vision 2035 while delivering exceptional value to our clients through technically superior, locally grounded Computer Engineer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Kuwait City</dc:title>
  <dc:creator/>
  <dc:language>en</dc:language>
  <cp:keywords/>
  <dcterms:created xsi:type="dcterms:W3CDTF">2026-05-01T05:29:13Z</dcterms:created>
  <dcterms:modified xsi:type="dcterms:W3CDTF">2026-05-01T05:29:13Z</dcterms:modified>
</cp:coreProperties>
</file>

<file path=docProps/custom.xml><?xml version="1.0" encoding="utf-8"?>
<Properties xmlns="http://schemas.openxmlformats.org/officeDocument/2006/custom-properties" xmlns:vt="http://schemas.openxmlformats.org/officeDocument/2006/docPropsVTypes"/>
</file>