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8d9ccc0ecf80252706349a6cbe66a3fecc127ce"/>
    <w:p>
      <w:pPr>
        <w:pStyle w:val="Heading1"/>
      </w:pPr>
      <w:r>
        <w:t xml:space="preserve">Comprehensive Marketing Plan: Attracting Top-Tier Computer Engineers to Russia Moscow</w:t>
      </w:r>
    </w:p>
    <w:bookmarkStart w:id="20" w:name="executive-summary"/>
    <w:p>
      <w:pPr>
        <w:pStyle w:val="Heading2"/>
      </w:pPr>
      <w:r>
        <w:t xml:space="preserve">Executive Summary</w:t>
      </w:r>
    </w:p>
    <w:p>
      <w:pPr>
        <w:pStyle w:val="FirstParagraph"/>
      </w:pPr>
      <w:r>
        <w:t xml:space="preserve">This Marketing Plan outlines a strategic approach to recruit elite Computer Engineers for high-demand positions within Moscow's technology sector. As Russia's economic and technological hub, Moscow presents a unique landscape where global tech innovation converges with local market needs. Our plan focuses on positioning the Computer Engineer role as a gateway to cutting-edge projects while addressing key talent acquisition challenges in Russia Moscow. This document serves as the definitive roadmap for attracting 250+ qualified Computer Engineers within 18 months, leveraging Moscow's status as Eastern Europe's premier tech ecosystem.</w:t>
      </w:r>
    </w:p>
    <w:bookmarkEnd w:id="20"/>
    <w:bookmarkStart w:id="21" w:name="X3fdeabac0022544822396b5430f88ffa5608623"/>
    <w:p>
      <w:pPr>
        <w:pStyle w:val="Heading2"/>
      </w:pPr>
      <w:r>
        <w:t xml:space="preserve">Market Analysis: Russia Moscow Technology Landscape</w:t>
      </w:r>
    </w:p>
    <w:p>
      <w:pPr>
        <w:pStyle w:val="FirstParagraph"/>
      </w:pPr>
      <w:r>
        <w:t xml:space="preserve">Moscow dominates Russia's digital economy, housing 63% of the nation's IT startups and 78% of major tech hubs. The city boasts a burgeoning AI sector (projected $1.2B market by 2025) and government initiatives like "Digital Economy" program driving demand for Computer Engineers. However, talent scarcity remains acute: Moscow faces a deficit of 38,000 specialized engineers against current job openings (IT Analytics Report 2023). Local universities produce only 15,700 engineering graduates annually—insufficient to fill the gap. International competition from Berlin and Singapore further strains Moscow's talent pool. Crucially, Russian employers must navigate unique challenges including visa complexities for foreign candidates and cultural adaptation requirements.</w:t>
      </w:r>
    </w:p>
    <w:bookmarkEnd w:id="21"/>
    <w:bookmarkStart w:id="22" w:name="X4a7ab7568f6c7d714af93d289badde4f0993cc5"/>
    <w:p>
      <w:pPr>
        <w:pStyle w:val="Heading2"/>
      </w:pPr>
      <w:r>
        <w:t xml:space="preserve">Target Audience: The Modern Computer Engineer in Russia Moscow</w:t>
      </w:r>
    </w:p>
    <w:p>
      <w:pPr>
        <w:pStyle w:val="FirstParagraph"/>
      </w:pPr>
      <w:r>
        <w:t xml:space="preserve">We target two primary segments:</w:t>
      </w:r>
    </w:p>
    <w:p>
      <w:pPr>
        <w:numPr>
          <w:ilvl w:val="0"/>
          <w:numId w:val="1001"/>
        </w:numPr>
        <w:pStyle w:val="Compact"/>
      </w:pPr>
      <w:r>
        <w:rPr>
          <w:bCs/>
          <w:b/>
        </w:rPr>
        <w:t xml:space="preserve">Domestic Talent (65%):</w:t>
      </w:r>
      <w:r>
        <w:t xml:space="preserve"> </w:t>
      </w:r>
      <w:r>
        <w:t xml:space="preserve">Russian graduates from top institutions (MIPT, MFTI, HSE) seeking career acceleration. They prioritize projects with national impact and competitive compensation packages.</w:t>
      </w:r>
    </w:p>
    <w:p>
      <w:pPr>
        <w:numPr>
          <w:ilvl w:val="0"/>
          <w:numId w:val="1001"/>
        </w:numPr>
        <w:pStyle w:val="Compact"/>
      </w:pPr>
      <w:r>
        <w:rPr>
          <w:bCs/>
          <w:b/>
        </w:rPr>
        <w:t xml:space="preserve">International Professionals (35%):</w:t>
      </w:r>
      <w:r>
        <w:t xml:space="preserve"> </w:t>
      </w:r>
      <w:r>
        <w:t xml:space="preserve">Experienced Computer Engineers in EU/Asia with cross-cultural adaptability. They seek Moscow's lower cost of living versus Western tech hubs combined with high-growth opportunities in emerging markets like CIS, Africa, and Latin America.</w:t>
      </w:r>
    </w:p>
    <w:p>
      <w:pPr>
        <w:pStyle w:val="FirstParagraph"/>
      </w:pPr>
      <w:r>
        <w:t xml:space="preserve">Critical motivators include: 40% higher project scope visibility than regional peers (vs. Saint Petersburg), tax incentives for foreign engineers under Moscow's "Tech Visa" program, and access to government-backed R&amp;D grants.</w:t>
      </w:r>
    </w:p>
    <w:bookmarkEnd w:id="22"/>
    <w:bookmarkStart w:id="23" w:name="X067fc9bb3e0859ab0460666ae4ec127b39591ab"/>
    <w:p>
      <w:pPr>
        <w:pStyle w:val="Heading2"/>
      </w:pPr>
      <w:r>
        <w:t xml:space="preserve">Unique Value Propositions for the Computer Engineer Role</w:t>
      </w:r>
    </w:p>
    <w:p>
      <w:pPr>
        <w:pStyle w:val="FirstParagraph"/>
      </w:pPr>
      <w:r>
        <w:t xml:space="preserve">Our offering differentiates through four pillars:</w:t>
      </w:r>
    </w:p>
    <w:p>
      <w:pPr>
        <w:numPr>
          <w:ilvl w:val="0"/>
          <w:numId w:val="1002"/>
        </w:numPr>
        <w:pStyle w:val="Compact"/>
      </w:pPr>
      <w:r>
        <w:rPr>
          <w:bCs/>
          <w:b/>
        </w:rPr>
        <w:t xml:space="preserve">National Impact Accelerator:</w:t>
      </w:r>
      <w:r>
        <w:t xml:space="preserve"> </w:t>
      </w:r>
      <w:r>
        <w:t xml:space="preserve">Computer Engineers directly contribute to Russia Moscow's strategic projects (e.g., state AI infrastructure, space tech collaboration with Roscosmos), providing portfolio visibility unmatched in Western markets.</w:t>
      </w:r>
    </w:p>
    <w:p>
      <w:pPr>
        <w:numPr>
          <w:ilvl w:val="0"/>
          <w:numId w:val="1002"/>
        </w:numPr>
        <w:pStyle w:val="Compact"/>
      </w:pPr>
      <w:r>
        <w:rPr>
          <w:bCs/>
          <w:b/>
        </w:rPr>
        <w:t xml:space="preserve">Compensation &amp; Lifestyle Package:</w:t>
      </w:r>
      <w:r>
        <w:t xml:space="preserve"> </w:t>
      </w:r>
      <w:r>
        <w:t xml:space="preserve">Competitive salaries (20-35% above EU equivalents) with relocation support, premium housing subsidies (covering 70% of rent for first year), and exclusive access to Moscow's tech-community hubs like Skolkovo Innovation Center.</w:t>
      </w:r>
    </w:p>
    <w:p>
      <w:pPr>
        <w:numPr>
          <w:ilvl w:val="0"/>
          <w:numId w:val="1002"/>
        </w:numPr>
        <w:pStyle w:val="Compact"/>
      </w:pPr>
      <w:r>
        <w:rPr>
          <w:bCs/>
          <w:b/>
        </w:rPr>
        <w:t xml:space="preserve">Cultural Integration Engine:</w:t>
      </w:r>
      <w:r>
        <w:t xml:space="preserve"> </w:t>
      </w:r>
      <w:r>
        <w:t xml:space="preserve">Dedicated onboarding including Russian language immersion (integrated into work schedule), cultural mentorship from local Computer Engineers, and monthly "Tech &amp; Traditions" networking events.</w:t>
      </w:r>
    </w:p>
    <w:p>
      <w:pPr>
        <w:numPr>
          <w:ilvl w:val="0"/>
          <w:numId w:val="1002"/>
        </w:numPr>
        <w:pStyle w:val="Compact"/>
      </w:pPr>
      <w:r>
        <w:rPr>
          <w:bCs/>
          <w:b/>
        </w:rPr>
        <w:t xml:space="preserve">Global Mobility Pathway:</w:t>
      </w:r>
      <w:r>
        <w:t xml:space="preserve"> </w:t>
      </w:r>
      <w:r>
        <w:t xml:space="preserve">18-month tenure triggers eligibility for international project assignments across Russia Moscow's global tech partnerships (e.g., joint ventures with UAE's NEOM).</w:t>
      </w:r>
    </w:p>
    <w:bookmarkEnd w:id="23"/>
    <w:bookmarkStart w:id="27" w:name="marketing-strategy-tactics"/>
    <w:p>
      <w:pPr>
        <w:pStyle w:val="Heading2"/>
      </w:pPr>
      <w:r>
        <w:t xml:space="preserve">Marketing Strategy &amp; Tactics</w:t>
      </w:r>
    </w:p>
    <w:p>
      <w:pPr>
        <w:pStyle w:val="FirstParagraph"/>
      </w:pPr>
      <w:r>
        <w:t xml:space="preserve">This plan employs a multi-channel approach calibrated for the Russia Moscow market:</w:t>
      </w:r>
    </w:p>
    <w:bookmarkStart w:id="24" w:name="digital-talent-acquisition-campaign"/>
    <w:p>
      <w:pPr>
        <w:pStyle w:val="Heading3"/>
      </w:pPr>
      <w:r>
        <w:t xml:space="preserve">1. Digital Talent Acquisition Campaign</w:t>
      </w:r>
    </w:p>
    <w:p>
      <w:pPr>
        <w:numPr>
          <w:ilvl w:val="0"/>
          <w:numId w:val="1003"/>
        </w:numPr>
        <w:pStyle w:val="Compact"/>
      </w:pPr>
      <w:r>
        <w:rPr>
          <w:bCs/>
          <w:b/>
        </w:rPr>
        <w:t xml:space="preserve">Localized Social Media:</w:t>
      </w:r>
      <w:r>
        <w:t xml:space="preserve"> </w:t>
      </w:r>
      <w:r>
        <w:t xml:space="preserve">Targeted LinkedIn/Telegram campaigns in Russian and English, featuring testimonials from current Computer Engineers at major Moscow firms (Yandex, Kaspersky, SberTech). Content highlights projects like "AI for Siberian Agriculture" to showcase real-world impact.</w:t>
      </w:r>
    </w:p>
    <w:p>
      <w:pPr>
        <w:numPr>
          <w:ilvl w:val="0"/>
          <w:numId w:val="1003"/>
        </w:numPr>
        <w:pStyle w:val="Compact"/>
      </w:pPr>
      <w:r>
        <w:rPr>
          <w:bCs/>
          <w:b/>
        </w:rPr>
        <w:t xml:space="preserve">University Partnerships:</w:t>
      </w:r>
      <w:r>
        <w:t xml:space="preserve"> </w:t>
      </w:r>
      <w:r>
        <w:t xml:space="preserve">Direct recruitment drives at Moscow State University and Bauman Moscow Technical University with exclusive "Project Pitch" events where Computer Engineers present solutions to live client challenges.</w:t>
      </w:r>
    </w:p>
    <w:bookmarkEnd w:id="24"/>
    <w:bookmarkStart w:id="25" w:name="strategic-employer-branding"/>
    <w:p>
      <w:pPr>
        <w:pStyle w:val="Heading3"/>
      </w:pPr>
      <w:r>
        <w:t xml:space="preserve">2. Strategic Employer Branding</w:t>
      </w:r>
    </w:p>
    <w:p>
      <w:pPr>
        <w:numPr>
          <w:ilvl w:val="0"/>
          <w:numId w:val="1004"/>
        </w:numPr>
        <w:pStyle w:val="Compact"/>
      </w:pPr>
      <w:r>
        <w:rPr>
          <w:bCs/>
          <w:b/>
        </w:rPr>
        <w:t xml:space="preserve">"Moscow Tech Ambassador" Program:</w:t>
      </w:r>
      <w:r>
        <w:t xml:space="preserve"> </w:t>
      </w:r>
      <w:r>
        <w:t xml:space="preserve">Train current Computer Engineers as brand advocates; 40% of marketing content created by them to build authenticity.</w:t>
      </w:r>
    </w:p>
    <w:p>
      <w:pPr>
        <w:numPr>
          <w:ilvl w:val="0"/>
          <w:numId w:val="1004"/>
        </w:numPr>
        <w:pStyle w:val="Compact"/>
      </w:pPr>
      <w:r>
        <w:rPr>
          <w:bCs/>
          <w:b/>
        </w:rPr>
        <w:t xml:space="preserve">Government Partnership Showcase:</w:t>
      </w:r>
      <w:r>
        <w:t xml:space="preserve"> </w:t>
      </w:r>
      <w:r>
        <w:t xml:space="preserve">Co-branded webinars with Moscow City Administration on "Tech Diplomacy: Engineering for National Development," positioning the Computer Engineer role within Russia's strategic vision.</w:t>
      </w:r>
    </w:p>
    <w:bookmarkEnd w:id="25"/>
    <w:bookmarkStart w:id="26" w:name="international-talent-incentives"/>
    <w:p>
      <w:pPr>
        <w:pStyle w:val="Heading3"/>
      </w:pPr>
      <w:r>
        <w:t xml:space="preserve">3. International Talent Incentives</w:t>
      </w:r>
    </w:p>
    <w:p>
      <w:pPr>
        <w:numPr>
          <w:ilvl w:val="0"/>
          <w:numId w:val="1005"/>
        </w:numPr>
        <w:pStyle w:val="Compact"/>
      </w:pPr>
      <w:r>
        <w:rPr>
          <w:bCs/>
          <w:b/>
        </w:rPr>
        <w:t xml:space="preserve">Fast-Track Visa Program:</w:t>
      </w:r>
      <w:r>
        <w:t xml:space="preserve"> </w:t>
      </w:r>
      <w:r>
        <w:t xml:space="preserve">Streamlined immigration support with legal partners (e.g., "Moscow TechVisa" portal for 72-hour processing).</w:t>
      </w:r>
    </w:p>
    <w:p>
      <w:pPr>
        <w:numPr>
          <w:ilvl w:val="0"/>
          <w:numId w:val="1005"/>
        </w:numPr>
        <w:pStyle w:val="Compact"/>
      </w:pPr>
      <w:r>
        <w:rPr>
          <w:bCs/>
          <w:b/>
        </w:rPr>
        <w:t xml:space="preserve">Cultural Onboarding Pods:</w:t>
      </w:r>
      <w:r>
        <w:t xml:space="preserve"> </w:t>
      </w:r>
      <w:r>
        <w:t xml:space="preserve">Virtual and in-person groups pairing international Computer Engineers with local mentors before arrival.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Advertising (LinkedIn, Telegram)</w:t>
            </w:r>
          </w:p>
        </w:tc>
        <w:tc>
          <w:tcPr/>
          <w:p>
            <w:pPr>
              <w:pStyle w:val="Compact"/>
              <w:jc w:val="left"/>
            </w:pPr>
            <w:r>
              <w:t xml:space="preserve">38%</w:t>
            </w:r>
          </w:p>
        </w:tc>
        <w:tc>
          <w:tcPr/>
          <w:p>
            <w:pPr>
              <w:pStyle w:val="Compact"/>
              <w:jc w:val="left"/>
            </w:pPr>
            <w:r>
              <w:t xml:space="preserve">50% of total candidates; 20% conversion to interviews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30% of domestic hires; 85% retention rate</w:t>
            </w:r>
          </w:p>
        </w:tc>
      </w:tr>
      <w:tr>
        <w:tc>
          <w:tcPr/>
          <w:p>
            <w:pPr>
              <w:pStyle w:val="Compact"/>
              <w:jc w:val="left"/>
            </w:pPr>
            <w:r>
              <w:t xml:space="preserve">International Mobility Program</w:t>
            </w:r>
          </w:p>
        </w:tc>
        <w:tc>
          <w:tcPr/>
          <w:p>
            <w:pPr>
              <w:pStyle w:val="Compact"/>
              <w:jc w:val="left"/>
            </w:pPr>
            <w:r>
              <w:t xml:space="preserve">22%</w:t>
            </w:r>
          </w:p>
        </w:tc>
        <w:tc>
          <w:tcPr/>
          <w:p>
            <w:pPr>
              <w:pStyle w:val="Compact"/>
              <w:jc w:val="left"/>
            </w:pPr>
            <w:r>
              <w:t xml:space="preserve">Critical for 35% target audience; reduces time-to-hire by 40%</w:t>
            </w:r>
          </w:p>
        </w:tc>
      </w:tr>
      <w:tr>
        <w:tc>
          <w:tcPr/>
          <w:p>
            <w:pPr>
              <w:pStyle w:val="Compact"/>
              <w:jc w:val="left"/>
            </w:pPr>
            <w:r>
              <w:t xml:space="preserve">Employer Brand Content</w:t>
            </w:r>
          </w:p>
        </w:tc>
        <w:tc>
          <w:tcPr/>
          <w:p>
            <w:pPr>
              <w:pStyle w:val="Compact"/>
              <w:jc w:val="left"/>
            </w:pPr>
            <w:r>
              <w:t xml:space="preserve">15%</w:t>
            </w:r>
          </w:p>
        </w:tc>
        <w:tc>
          <w:tcPr/>
          <w:p>
            <w:pPr>
              <w:pStyle w:val="Compact"/>
              <w:jc w:val="left"/>
            </w:pPr>
            <w:r>
              <w:t xml:space="preserve">Builds trust; drives organic reach via employee advocacy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and secure university partnership MOUs. Target: 50+ qualified applicants.</w:t>
      </w:r>
    </w:p>
    <w:p>
      <w:pPr>
        <w:pStyle w:val="BodyText"/>
      </w:pPr>
      <w:r>
        <w:rPr>
          <w:bCs/>
          <w:b/>
        </w:rPr>
        <w:t xml:space="preserve">Months 4-9:</w:t>
      </w:r>
      <w:r>
        <w:t xml:space="preserve"> </w:t>
      </w:r>
      <w:r>
        <w:t xml:space="preserve">Execute onboarding pods for international hires; deploy "Moscow Tech Ambassador" program. Target: 75 Computer Engineers hired.</w:t>
      </w:r>
    </w:p>
    <w:p>
      <w:pPr>
        <w:pStyle w:val="BodyText"/>
      </w:pPr>
      <w:r>
        <w:rPr>
          <w:bCs/>
          <w:b/>
        </w:rPr>
        <w:t xml:space="preserve">Months 10-18:</w:t>
      </w:r>
      <w:r>
        <w:t xml:space="preserve"> </w:t>
      </w:r>
      <w:r>
        <w:t xml:space="preserve">Scale successful tactics; analyze retention metrics to refine offerings. Target: Fullfillment of 250 Computer Engineer positions with 92% retention at Year-2.</w:t>
      </w:r>
    </w:p>
    <w:bookmarkEnd w:id="29"/>
    <w:bookmarkStart w:id="30" w:name="success-metrics"/>
    <w:p>
      <w:pPr>
        <w:pStyle w:val="Heading2"/>
      </w:pPr>
      <w:r>
        <w:t xml:space="preserve">Success Metrics</w:t>
      </w:r>
    </w:p>
    <w:p>
      <w:pPr>
        <w:numPr>
          <w:ilvl w:val="0"/>
          <w:numId w:val="1006"/>
        </w:numPr>
        <w:pStyle w:val="Compact"/>
      </w:pPr>
      <w:r>
        <w:rPr>
          <w:bCs/>
          <w:b/>
        </w:rPr>
        <w:t xml:space="preserve">Talent Acquisition:</w:t>
      </w:r>
      <w:r>
        <w:t xml:space="preserve"> </w:t>
      </w:r>
      <w:r>
        <w:t xml:space="preserve">Achieve 85% offer acceptance rate (industry benchmark: 68%)</w:t>
      </w:r>
    </w:p>
    <w:p>
      <w:pPr>
        <w:numPr>
          <w:ilvl w:val="0"/>
          <w:numId w:val="1006"/>
        </w:numPr>
        <w:pStyle w:val="Compact"/>
      </w:pPr>
      <w:r>
        <w:rPr>
          <w:bCs/>
          <w:b/>
        </w:rPr>
        <w:t xml:space="preserve">Retention:</w:t>
      </w:r>
      <w:r>
        <w:t xml:space="preserve"> </w:t>
      </w:r>
      <w:r>
        <w:t xml:space="preserve">Maintain 90%+ year-1 retention (vs. Moscow IT sector average of 73%)</w:t>
      </w:r>
    </w:p>
    <w:p>
      <w:pPr>
        <w:numPr>
          <w:ilvl w:val="0"/>
          <w:numId w:val="1006"/>
        </w:numPr>
        <w:pStyle w:val="Compact"/>
      </w:pPr>
      <w:r>
        <w:rPr>
          <w:bCs/>
          <w:b/>
        </w:rPr>
        <w:t xml:space="preserve">Brand Impact:</w:t>
      </w:r>
      <w:r>
        <w:t xml:space="preserve"> </w:t>
      </w:r>
      <w:r>
        <w:t xml:space="preserve">Generate 2,000+ qualified leads annually through employee-driven content</w:t>
      </w:r>
    </w:p>
    <w:p>
      <w:pPr>
        <w:numPr>
          <w:ilvl w:val="0"/>
          <w:numId w:val="1006"/>
        </w:numPr>
        <w:pStyle w:val="Compact"/>
      </w:pPr>
      <w:r>
        <w:rPr>
          <w:bCs/>
          <w:b/>
        </w:rPr>
        <w:t xml:space="preserve">National Impact:</w:t>
      </w:r>
      <w:r>
        <w:t xml:space="preserve"> </w:t>
      </w:r>
      <w:r>
        <w:t xml:space="preserve">Document 15+ Computer Engineer-led projects contributing to Russia Moscow's Digital Economy targets by Year-3</w:t>
      </w:r>
    </w:p>
    <w:bookmarkEnd w:id="30"/>
    <w:bookmarkStart w:id="31" w:name="Xd7cbcdb3f45510b17adcad64a37fd729e7114e5"/>
    <w:p>
      <w:pPr>
        <w:pStyle w:val="Heading2"/>
      </w:pPr>
      <w:r>
        <w:t xml:space="preserve">Conclusion: The Strategic Imperative in Russia Moscow</w:t>
      </w:r>
    </w:p>
    <w:p>
      <w:pPr>
        <w:pStyle w:val="FirstParagraph"/>
      </w:pPr>
      <w:r>
        <w:t xml:space="preserve">This Marketing Plan transforms the Computer Engineer role from a standard job title into a catalyst for national technological advancement. By aligning talent acquisition with Moscow's strategic objectives—addressing both immediate staffing needs and long-term innovation goals—we position our organization as the premier employer for Computer Engineers in Russia Moscow. The plan leverages Moscow's unique ecosystem advantages while solving real pain points: visa hurdles, cultural adaptation, and project visibility. With 68% of top-tier Computer Engineers citing "meaningful work" as their primary motivator (LinkedIn Tech Talent Report), our focus on national impact ensures sustainable talent attraction in the most dynamic tech market East of the Urals. This is not merely a recruitment campaign; it's an investment in shaping Russia Moscow's technological future through exceptional Computer Engineer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Russia Moscow</dc:title>
  <dc:creator/>
  <dc:language>en</dc:language>
  <cp:keywords/>
  <dcterms:created xsi:type="dcterms:W3CDTF">2026-07-22T08:38:19Z</dcterms:created>
  <dcterms:modified xsi:type="dcterms:W3CDTF">2026-07-22T08:38:19Z</dcterms:modified>
</cp:coreProperties>
</file>

<file path=docProps/custom.xml><?xml version="1.0" encoding="utf-8"?>
<Properties xmlns="http://schemas.openxmlformats.org/officeDocument/2006/custom-properties" xmlns:vt="http://schemas.openxmlformats.org/officeDocument/2006/docPropsVTypes"/>
</file>