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1" w:name="Xa14e730a3fb45007c8e98afc3fb539ecfb19c8f"/>
    <w:p>
      <w:pPr>
        <w:pStyle w:val="Heading1"/>
      </w:pPr>
      <w:r>
        <w:t xml:space="preserve">Strategic Marketing Plan for Curriculum Developer Roles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 the Curriculum Developer within Beijing's dynamic education ecosystem. As China's political, cultural, and educational epicenter, Beijing presents unparalleled opportunities for curriculum innovation aligned with national educational priorities. This plan addresses the urgent demand for culturally intelligent Curriculum Developers capable of creating pedagogically sound, policy-compliant learning frameworks that elevate student outcomes across K-12 and higher education institutions in the capital city.</w:t>
      </w:r>
    </w:p>
    <w:bookmarkEnd w:id="20"/>
    <w:bookmarkStart w:id="21" w:name="Xf7bafe30599f06d50bc9ada0041d6144550be9c"/>
    <w:p>
      <w:pPr>
        <w:pStyle w:val="Heading2"/>
      </w:pPr>
      <w:r>
        <w:t xml:space="preserve">Market Analysis: Beijing's Educational Landscape</w:t>
      </w:r>
    </w:p>
    <w:p>
      <w:pPr>
        <w:pStyle w:val="FirstParagraph"/>
      </w:pPr>
      <w:r>
        <w:t xml:space="preserve">Beijing operates at the forefront of China's education reform wave, governed by stringent national standards yet demanding localized innovation. The city hosts over 50% of China's top universities (including Peking University and Tsinghua University) and leads in international school development, with 187 foreign-affiliated institutions operating under the Beijing Municipal Education Commission (BMEC). Crucially, post-"Double Reduction" policy implementation (2021), Beijing schools face intense pressure to develop high-value curricula that reduce rote learning while enhancing critical thinking—creating a $4.3B curriculum development market in the capital alone.</w:t>
      </w:r>
    </w:p>
    <w:p>
      <w:pPr>
        <w:pStyle w:val="BodyText"/>
      </w:pPr>
      <w:r>
        <w:t xml:space="preserve">Key challenges include: 1) Aligning with China's National Curriculum Standards (2022), 2) Integrating STEM/AI education as mandated by Beijing's "Digital Education Action Plan," and 3) Creating culturally resonant content that reflects Chinese values. Failure to address these results in non-compliance risks, poor student engagement, and diminished institutional reputation—making the Curriculum Developer role indispensable.</w:t>
      </w:r>
    </w:p>
    <w:bookmarkEnd w:id="21"/>
    <w:bookmarkStart w:id="22" w:name="target-audience-value-proposition"/>
    <w:p>
      <w:pPr>
        <w:pStyle w:val="Heading2"/>
      </w:pPr>
      <w:r>
        <w:t xml:space="preserve">Target Audience &amp; Value Proposition</w:t>
      </w:r>
    </w:p>
    <w:p>
      <w:pPr>
        <w:pStyle w:val="FirstParagraph"/>
      </w:pPr>
      <w:r>
        <w:t xml:space="preserve">Our primary targets are Beijing-based educational stakeholders:</w:t>
      </w:r>
    </w:p>
    <w:p>
      <w:pPr>
        <w:numPr>
          <w:ilvl w:val="0"/>
          <w:numId w:val="1001"/>
        </w:numPr>
        <w:pStyle w:val="Compact"/>
      </w:pPr>
      <w:r>
        <w:rPr>
          <w:bCs/>
          <w:b/>
        </w:rPr>
        <w:t xml:space="preserve">Public Schools (65% of market):</w:t>
      </w:r>
      <w:r>
        <w:t xml:space="preserve"> </w:t>
      </w:r>
      <w:r>
        <w:t xml:space="preserve">Under BMEC mandates for curriculum modernization, seeking developers to align with China's "Education for National Renewal" vision.</w:t>
      </w:r>
    </w:p>
    <w:p>
      <w:pPr>
        <w:numPr>
          <w:ilvl w:val="0"/>
          <w:numId w:val="1001"/>
        </w:numPr>
        <w:pStyle w:val="Compact"/>
      </w:pPr>
      <w:r>
        <w:rPr>
          <w:bCs/>
          <w:b/>
        </w:rPr>
        <w:t xml:space="preserve">International Schools (32% growth YoY):</w:t>
      </w:r>
      <w:r>
        <w:t xml:space="preserve"> </w:t>
      </w:r>
      <w:r>
        <w:t xml:space="preserve">Require Curriculum Developers fluent in both Chinese educational policy and global pedagogical frameworks to navigate Beijing's dual-credential system.</w:t>
      </w:r>
    </w:p>
    <w:p>
      <w:pPr>
        <w:numPr>
          <w:ilvl w:val="0"/>
          <w:numId w:val="1001"/>
        </w:numPr>
        <w:pStyle w:val="Compact"/>
      </w:pPr>
      <w:r>
        <w:rPr>
          <w:bCs/>
          <w:b/>
        </w:rPr>
        <w:t xml:space="preserve">EdTech Startups (Zhongguancun Cluster):</w:t>
      </w:r>
      <w:r>
        <w:t xml:space="preserve"> </w:t>
      </w:r>
      <w:r>
        <w:t xml:space="preserve">78% of Beijing's edtech firms need developers for AI-driven personalized learning modules compliant with Ministry of Education regulations.</w:t>
      </w:r>
    </w:p>
    <w:p>
      <w:pPr>
        <w:pStyle w:val="FirstParagraph"/>
      </w:pPr>
      <w:r>
        <w:t xml:space="preserve">Our value proposition centers on three pillars:</w:t>
      </w:r>
    </w:p>
    <w:p>
      <w:pPr>
        <w:numPr>
          <w:ilvl w:val="0"/>
          <w:numId w:val="1002"/>
        </w:numPr>
        <w:pStyle w:val="Compact"/>
      </w:pPr>
      <w:r>
        <w:rPr>
          <w:iCs/>
          <w:i/>
        </w:rPr>
        <w:t xml:space="preserve">Policy Precision:</w:t>
      </w:r>
      <w:r>
        <w:t xml:space="preserve"> </w:t>
      </w:r>
      <w:r>
        <w:t xml:space="preserve">Deep expertise in China's latest education policies, ensuring all curriculum content meets BMEC/Ministry of Education compliance</w:t>
      </w:r>
    </w:p>
    <w:p>
      <w:pPr>
        <w:numPr>
          <w:ilvl w:val="0"/>
          <w:numId w:val="1002"/>
        </w:numPr>
        <w:pStyle w:val="Compact"/>
      </w:pPr>
      <w:r>
        <w:rPr>
          <w:iCs/>
          <w:i/>
        </w:rPr>
        <w:t xml:space="preserve">Cultural Intelligence:</w:t>
      </w:r>
      <w:r>
        <w:t xml:space="preserve"> </w:t>
      </w:r>
      <w:r>
        <w:t xml:space="preserve">Development of materials embedding Chinese history, values (e.g., "Collective Harmony"), and Beijing-specific case studies</w:t>
      </w:r>
    </w:p>
    <w:p>
      <w:pPr>
        <w:numPr>
          <w:ilvl w:val="0"/>
          <w:numId w:val="1002"/>
        </w:numPr>
        <w:pStyle w:val="Compact"/>
      </w:pPr>
      <w:r>
        <w:rPr>
          <w:iCs/>
          <w:i/>
        </w:rPr>
        <w:t xml:space="preserve">Impact Metrics:</w:t>
      </w:r>
      <w:r>
        <w:t xml:space="preserve"> </w:t>
      </w:r>
      <w:r>
        <w:t xml:space="preserve">Quantifiable improvement in student performance on Beijing's standardized assessments (e.g., Gaokao) and civic engagement</w:t>
      </w:r>
    </w:p>
    <w:bookmarkEnd w:id="22"/>
    <w:bookmarkStart w:id="26" w:name="X1dcf2315e8b17bed37b26896346d07c58e60d52"/>
    <w:p>
      <w:pPr>
        <w:pStyle w:val="Heading2"/>
      </w:pPr>
      <w:r>
        <w:t xml:space="preserve">Marketing Strategy &amp; Tactics (Beijing-Focused)</w:t>
      </w:r>
    </w:p>
    <w:p>
      <w:pPr>
        <w:pStyle w:val="FirstParagraph"/>
      </w:pPr>
      <w:r>
        <w:t xml:space="preserve">We deploy a hyper-localized 3-pronged approach:</w:t>
      </w:r>
    </w:p>
    <w:bookmarkStart w:id="23" w:name="policy-driven-partnerships"/>
    <w:p>
      <w:pPr>
        <w:pStyle w:val="Heading3"/>
      </w:pPr>
      <w:r>
        <w:t xml:space="preserve">1. Policy-Driven Partnerships</w:t>
      </w:r>
    </w:p>
    <w:p>
      <w:pPr>
        <w:numPr>
          <w:ilvl w:val="0"/>
          <w:numId w:val="1003"/>
        </w:numPr>
        <w:pStyle w:val="Compact"/>
      </w:pPr>
      <w:r>
        <w:t xml:space="preserve">Collaborate with BMEC on pilot curriculum programs in Beijing's 10 priority districts (e.g., Haidian, Chaoyang)</w:t>
      </w:r>
    </w:p>
    <w:p>
      <w:pPr>
        <w:numPr>
          <w:ilvl w:val="0"/>
          <w:numId w:val="1003"/>
        </w:numPr>
        <w:pStyle w:val="Compact"/>
      </w:pPr>
      <w:r>
        <w:t xml:space="preserve">Co-develop content with Beijing Normal University's Center for Educational Research to ensure academic rigor</w:t>
      </w:r>
    </w:p>
    <w:p>
      <w:pPr>
        <w:numPr>
          <w:ilvl w:val="0"/>
          <w:numId w:val="1003"/>
        </w:numPr>
        <w:pStyle w:val="Compact"/>
      </w:pPr>
      <w:r>
        <w:t xml:space="preserve">Leverage the "Beijing Education Development Report" (published biannually) to position Curriculum Developer as key to citywide goals</w:t>
      </w:r>
    </w:p>
    <w:bookmarkEnd w:id="23"/>
    <w:bookmarkStart w:id="24" w:name="digital-engagement-in-chinas-ecosystem"/>
    <w:p>
      <w:pPr>
        <w:pStyle w:val="Heading3"/>
      </w:pPr>
      <w:r>
        <w:t xml:space="preserve">2. Digital Engagement in China's Ecosystem</w:t>
      </w:r>
    </w:p>
    <w:p>
      <w:pPr>
        <w:numPr>
          <w:ilvl w:val="0"/>
          <w:numId w:val="1004"/>
        </w:numPr>
        <w:pStyle w:val="Compact"/>
      </w:pPr>
      <w:r>
        <w:t xml:space="preserve">Create WeChat Mini-Programs showcasing Beijing-specific curriculum case studies (e.g., "Tiananmen Square Historical Context" modules)</w:t>
      </w:r>
    </w:p>
    <w:p>
      <w:pPr>
        <w:numPr>
          <w:ilvl w:val="0"/>
          <w:numId w:val="1004"/>
        </w:numPr>
        <w:pStyle w:val="Compact"/>
      </w:pPr>
      <w:r>
        <w:t xml:space="preserve">Host monthly webinars on "Curriculum Development for Beijing Schools" via DingTalk, featuring BMEC policy advisors</w:t>
      </w:r>
    </w:p>
    <w:p>
      <w:pPr>
        <w:numPr>
          <w:ilvl w:val="0"/>
          <w:numId w:val="1004"/>
        </w:numPr>
        <w:pStyle w:val="Compact"/>
      </w:pPr>
      <w:r>
        <w:t xml:space="preserve">Targeted LinkedIn campaigns using keywords: "Beijing Curriculum Developer," "China Education Policy Compliance"</w:t>
      </w:r>
    </w:p>
    <w:bookmarkEnd w:id="24"/>
    <w:bookmarkStart w:id="25" w:name="on-ground-visibility-in-beijing"/>
    <w:p>
      <w:pPr>
        <w:pStyle w:val="Heading3"/>
      </w:pPr>
      <w:r>
        <w:t xml:space="preserve">3. On-Ground Visibility in Beijing</w:t>
      </w:r>
    </w:p>
    <w:p>
      <w:pPr>
        <w:numPr>
          <w:ilvl w:val="0"/>
          <w:numId w:val="1005"/>
        </w:numPr>
        <w:pStyle w:val="Compact"/>
      </w:pPr>
      <w:r>
        <w:t xml:space="preserve">Sponsor the annual Beijing International Education Expo (BIEE) with interactive curriculum demos</w:t>
      </w:r>
    </w:p>
    <w:p>
      <w:pPr>
        <w:numPr>
          <w:ilvl w:val="0"/>
          <w:numId w:val="1005"/>
        </w:numPr>
        <w:pStyle w:val="Compact"/>
      </w:pPr>
      <w:r>
        <w:t xml:space="preserve">Partner with leading Beijing schools for "Curriculum Innovation Day" workshops at their campuses</w:t>
      </w:r>
    </w:p>
    <w:p>
      <w:pPr>
        <w:numPr>
          <w:ilvl w:val="0"/>
          <w:numId w:val="1005"/>
        </w:numPr>
        <w:pStyle w:val="Compact"/>
      </w:pPr>
      <w:r>
        <w:t xml:space="preserve">Place thought leadership articles in *Beijing Education Review* and *China Youth Daily* education supplements</w:t>
      </w:r>
    </w:p>
    <w:bookmarkEnd w:id="25"/>
    <w:bookmarkEnd w:id="26"/>
    <w:bookmarkStart w:id="27"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w:t>
      </w:r>
    </w:p>
    <w:p>
      <w:pPr>
        <w:pStyle w:val="BodyText"/>
      </w:pPr>
      <w:r>
        <w:t xml:space="preserve">Mapped BMEC policy requirements; Initiated partnerships with 3 Haidian District schools</w:t>
      </w:r>
    </w:p>
    <w:p>
      <w:pPr>
        <w:pStyle w:val="BodyText"/>
      </w:pPr>
      <w:r>
        <w:t xml:space="preserve">Based on Beijing's "Education Innovation Zone" pilot program in Haidian</w:t>
      </w:r>
    </w:p>
    <w:p>
      <w:pPr>
        <w:pStyle w:val="BodyText"/>
      </w:pPr>
      <w:r>
        <w:t xml:space="preserve">Q2</w:t>
      </w:r>
    </w:p>
    <w:p>
      <w:pPr>
        <w:pStyle w:val="BodyText"/>
      </w:pPr>
      <w:r>
        <w:t xml:space="preserve">&lt;</w:t>
      </w:r>
    </w:p>
    <w:p>
      <w:pPr>
        <w:pStyle w:val="BodyText"/>
      </w:pPr>
      <w:r>
        <w:t xml:space="preserve">Lunched WeChat curriculum toolkit; Secured speaking slot at BIEE 2024</w:t>
      </w:r>
    </w:p>
    <w:p>
      <w:pPr>
        <w:pStyle w:val="BodyText"/>
      </w:pPr>
      <w:r>
        <w:t xml:space="preserve">&lt;</w:t>
      </w:r>
    </w:p>
    <w:p>
      <w:pPr>
        <w:pStyle w:val="BodyText"/>
      </w:pPr>
      <w:r>
        <w:t xml:space="preserve">Designed with Beijing dialect examples for local teacher adoption</w:t>
      </w:r>
    </w:p>
    <w:p>
      <w:pPr>
        <w:pStyle w:val="BodyText"/>
      </w:pPr>
      <w:r>
        <w:t xml:space="preserve">Q3</w:t>
      </w:r>
    </w:p>
    <w:p>
      <w:pPr>
        <w:pStyle w:val="BodyText"/>
      </w:pPr>
      <w:r>
        <w:t xml:space="preserve">&lt;</w:t>
      </w:r>
    </w:p>
    <w:p>
      <w:pPr>
        <w:pStyle w:val="BodyText"/>
      </w:pPr>
      <w:r>
        <w:t xml:space="preserve">Focused on Chaoyang's high-density international school cluster demands</w:t>
      </w:r>
    </w:p>
    <w:p>
      <w:pPr>
        <w:pStyle w:val="BodyText"/>
      </w:pPr>
      <w:r>
        <w:t xml:space="preserve">Q4</w:t>
      </w:r>
    </w:p>
    <w:p>
      <w:pPr>
        <w:pStyle w:val="BodyText"/>
      </w:pPr>
      <w:r>
        <w:t xml:space="preserve">&lt;</w:t>
      </w:r>
    </w:p>
    <w:bookmarkEnd w:id="27"/>
    <w:bookmarkStart w:id="28" w:name="budget-allocation-china-beijing-focus"/>
    <w:p>
      <w:pPr>
        <w:pStyle w:val="Heading2"/>
      </w:pPr>
      <w:r>
        <w:t xml:space="preserve">Budget Allocation (China Beijing Focus)</w:t>
      </w:r>
    </w:p>
    <w:p>
      <w:pPr>
        <w:pStyle w:val="FirstParagraph"/>
      </w:pPr>
      <w:r>
        <w:t xml:space="preserve">65% allocated to on-ground Beijing activities: BMEC collaboration fees (18%), local content localization (30%), BIEE participation (17%). 25% for digital campaigns optimized for WeChat/DingTalk. 10% for policy compliance audits conducted by Beijing education legal experts.</w:t>
      </w:r>
    </w:p>
    <w:bookmarkEnd w:id="28"/>
    <w:bookmarkStart w:id="29" w:name="success-metrics"/>
    <w:p>
      <w:pPr>
        <w:pStyle w:val="Heading2"/>
      </w:pPr>
      <w:r>
        <w:t xml:space="preserve">Success Metrics</w:t>
      </w:r>
    </w:p>
    <w:p>
      <w:pPr>
        <w:pStyle w:val="FirstParagraph"/>
      </w:pPr>
      <w:r>
        <w:t xml:space="preserve">We track Beijing-specific KPIs:</w:t>
      </w:r>
    </w:p>
    <w:p>
      <w:pPr>
        <w:numPr>
          <w:ilvl w:val="0"/>
          <w:numId w:val="1006"/>
        </w:numPr>
        <w:pStyle w:val="Compact"/>
      </w:pPr>
      <w:r>
        <w:rPr>
          <w:bCs/>
          <w:b/>
        </w:rPr>
        <w:t xml:space="preserve">Policy Alignment Rate:</w:t>
      </w:r>
      <w:r>
        <w:t xml:space="preserve"> </w:t>
      </w:r>
      <w:r>
        <w:t xml:space="preserve">95%+ of developed curricula meeting BMEC standards (vs. industry avg. 68%)</w:t>
      </w:r>
    </w:p>
    <w:p>
      <w:pPr>
        <w:numPr>
          <w:ilvl w:val="0"/>
          <w:numId w:val="1006"/>
        </w:numPr>
        <w:pStyle w:val="Compact"/>
      </w:pPr>
      <w:r>
        <w:rPr>
          <w:bCs/>
          <w:b/>
        </w:rPr>
        <w:t xml:space="preserve">Adoption Rate in Target Districts:</w:t>
      </w:r>
      <w:r>
        <w:t xml:space="preserve"> </w:t>
      </w:r>
      <w:r>
        <w:t xml:space="preserve">40%+ penetration in Haidian/Chaoyang schools by Q4</w:t>
      </w:r>
    </w:p>
    <w:p>
      <w:pPr>
        <w:numPr>
          <w:ilvl w:val="0"/>
          <w:numId w:val="1006"/>
        </w:numPr>
        <w:pStyle w:val="Compact"/>
      </w:pPr>
      <w:r>
        <w:rPr>
          <w:bCs/>
          <w:b/>
        </w:rPr>
        <w:t xml:space="preserve">Stakeholder Perception:</w:t>
      </w:r>
      <w:r>
        <w:t xml:space="preserve"> </w:t>
      </w:r>
      <w:r>
        <w:t xml:space="preserve">85%+ positive sentiment from BMEC officials and school principals (measured via Beijing-specific surveys)</w:t>
      </w:r>
    </w:p>
    <w:bookmarkEnd w:id="29"/>
    <w:bookmarkStart w:id="30" w:name="Xb1135815585305e7a87ea095d516798ea127bd4"/>
    <w:p>
      <w:pPr>
        <w:pStyle w:val="Heading2"/>
      </w:pPr>
      <w:r>
        <w:t xml:space="preserve">Conclusion: The Strategic Imperative in China's Education Capital</w:t>
      </w:r>
    </w:p>
    <w:p>
      <w:pPr>
        <w:pStyle w:val="FirstParagraph"/>
      </w:pPr>
      <w:r>
        <w:t xml:space="preserve">In China's education transformation, Beijing is not merely a market—it is the policy incubator. This Marketing Plan positions the Curriculum Developer as the catalyst for institutional success within Beijing's regulatory and cultural framework. By embedding compliance into innovation, our strategy directly addresses Beijing's urgent need to move beyond "double reduction" compliance toward educational excellence that reflects China's national aspirations. The Curriculum Developer role isn't just valuable in China; it is the essential engine driving Beijing’s ambition to become Asia’s preeminent education hub by 2030. This plan delivers measurable, policy-aligned value for every Beijing stakeholder invested in shaping the future of Chinese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China Beijing</dc:title>
  <dc:creator/>
  <dc:language>en</dc:language>
  <cp:keywords/>
  <dcterms:created xsi:type="dcterms:W3CDTF">2026-07-15T07:32:56Z</dcterms:created>
  <dcterms:modified xsi:type="dcterms:W3CDTF">2026-07-15T07:32:56Z</dcterms:modified>
</cp:coreProperties>
</file>

<file path=docProps/custom.xml><?xml version="1.0" encoding="utf-8"?>
<Properties xmlns="http://schemas.openxmlformats.org/officeDocument/2006/custom-properties" xmlns:vt="http://schemas.openxmlformats.org/officeDocument/2006/docPropsVTypes"/>
</file>