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Spain</w:t>
      </w:r>
      <w:r>
        <w:t xml:space="preserve"> </w:t>
      </w:r>
      <w:r>
        <w:t xml:space="preserve">Valencia</w:t>
      </w:r>
    </w:p>
    <w:bookmarkStart w:id="32" w:name="X47f3fe68d7cfabe8e40de1cc7f0830a4d0bd5e8"/>
    <w:p>
      <w:pPr>
        <w:pStyle w:val="Heading1"/>
      </w:pPr>
      <w:r>
        <w:t xml:space="preserve">Comprehensive Marketing Plan for Curriculum Developer Services in Spain Valencia</w:t>
      </w:r>
    </w:p>
    <w:bookmarkStart w:id="20" w:name="executive-summary"/>
    <w:p>
      <w:pPr>
        <w:pStyle w:val="Heading2"/>
      </w:pPr>
      <w:r>
        <w:t xml:space="preserve">1. Executive Summary</w:t>
      </w:r>
    </w:p>
    <w:p>
      <w:pPr>
        <w:pStyle w:val="FirstParagraph"/>
      </w:pPr>
      <w:r>
        <w:t xml:space="preserve">This Marketing Plan outlines a targeted strategy to position our specialized</w:t>
      </w:r>
      <w:r>
        <w:t xml:space="preserve"> </w:t>
      </w:r>
      <w:r>
        <w:rPr>
          <w:bCs/>
          <w:b/>
        </w:rPr>
        <w:t xml:space="preserve">Curriculum Developer</w:t>
      </w:r>
      <w:r>
        <w:t xml:space="preserve"> </w:t>
      </w:r>
      <w:r>
        <w:t xml:space="preserve">services as the premier solution for educational institutions across</w:t>
      </w:r>
      <w:r>
        <w:t xml:space="preserve"> </w:t>
      </w:r>
      <w:r>
        <w:rPr>
          <w:bCs/>
          <w:b/>
        </w:rPr>
        <w:t xml:space="preserve">Spain Valencia</w:t>
      </w:r>
      <w:r>
        <w:t xml:space="preserve">. With Valencia's education sector undergoing significant reforms aligned with the Valencian Community's strategic goals, we present a data-driven approach to capture 25% market share within 18 months. Our plan leverages local regulatory frameworks (including LOE and LOMLOE), cultural nuances of Valencian pedagogy, and digital transformation trends unique to</w:t>
      </w:r>
      <w:r>
        <w:t xml:space="preserve"> </w:t>
      </w:r>
      <w:r>
        <w:rPr>
          <w:bCs/>
          <w:b/>
        </w:rPr>
        <w:t xml:space="preserve">Spain Valencia</w:t>
      </w:r>
      <w:r>
        <w:t xml:space="preserve">. The strategy integrates community engagement with measurable KPIs focused on institutional partnerships rather than individual consumers.</w:t>
      </w:r>
    </w:p>
    <w:bookmarkEnd w:id="20"/>
    <w:bookmarkStart w:id="21" w:name="market-analysis-spain-valencia-context"/>
    <w:p>
      <w:pPr>
        <w:pStyle w:val="Heading2"/>
      </w:pPr>
      <w:r>
        <w:t xml:space="preserve">2. Market Analysis: Spain Valencia Context</w:t>
      </w:r>
    </w:p>
    <w:p>
      <w:pPr>
        <w:pStyle w:val="FirstParagraph"/>
      </w:pPr>
      <w:r>
        <w:rPr>
          <w:bCs/>
          <w:b/>
        </w:rPr>
        <w:t xml:space="preserve">Spain Valencia</w:t>
      </w:r>
      <w:r>
        <w:t xml:space="preserve">'s education landscape presents strategic opportunities. According to the Valencian Ministry of Education (2023), 68% of public schools require curriculum modernization to align with the new Competence-Based Education Model. Key trends include:</w:t>
      </w:r>
    </w:p>
    <w:p>
      <w:pPr>
        <w:numPr>
          <w:ilvl w:val="0"/>
          <w:numId w:val="1001"/>
        </w:numPr>
        <w:pStyle w:val="Compact"/>
      </w:pPr>
      <w:r>
        <w:rPr>
          <w:bCs/>
          <w:b/>
        </w:rPr>
        <w:t xml:space="preserve">Regulatory Shift</w:t>
      </w:r>
      <w:r>
        <w:t xml:space="preserve">: Mandatory implementation of LOMLOE (Law on Organizing Secondary Education) by 2025, creating urgent demand for compliant curriculum design</w:t>
      </w:r>
    </w:p>
    <w:p>
      <w:pPr>
        <w:numPr>
          <w:ilvl w:val="0"/>
          <w:numId w:val="1001"/>
        </w:numPr>
        <w:pStyle w:val="Compact"/>
      </w:pPr>
      <w:r>
        <w:rPr>
          <w:bCs/>
          <w:b/>
        </w:rPr>
        <w:t xml:space="preserve">Digital Transformation</w:t>
      </w:r>
      <w:r>
        <w:t xml:space="preserve">: Valencia leads Spain in EdTech adoption (42% school integration vs. 31% national average)</w:t>
      </w:r>
    </w:p>
    <w:p>
      <w:pPr>
        <w:numPr>
          <w:ilvl w:val="0"/>
          <w:numId w:val="1001"/>
        </w:numPr>
        <w:pStyle w:val="Compact"/>
      </w:pPr>
      <w:r>
        <w:rPr>
          <w:bCs/>
          <w:b/>
        </w:rPr>
        <w:t xml:space="preserve">Local Needs</w:t>
      </w:r>
      <w:r>
        <w:t xml:space="preserve">: Demand for Valencian-language integration (57% of schools) and cultural content reflecting Valencian identity</w:t>
      </w:r>
    </w:p>
    <w:p>
      <w:pPr>
        <w:pStyle w:val="FirstParagraph"/>
      </w:pPr>
      <w:r>
        <w:t xml:space="preserve">Our target institutions include public high schools, private bilingual centers (e.g., Colegio San José), vocational training centers (IFC), and regional educational consortia like "Consell de les Illes Balears" partnerships.</w:t>
      </w:r>
    </w:p>
    <w:bookmarkEnd w:id="21"/>
    <w:bookmarkStart w:id="22" w:name="competitive-analysis"/>
    <w:p>
      <w:pPr>
        <w:pStyle w:val="Heading2"/>
      </w:pPr>
      <w:r>
        <w:t xml:space="preserve">3. Competitive Analysis</w:t>
      </w:r>
    </w:p>
    <w:p>
      <w:pPr>
        <w:pStyle w:val="FirstParagraph"/>
      </w:pPr>
      <w:r>
        <w:t xml:space="preserve">In the</w:t>
      </w:r>
      <w:r>
        <w:t xml:space="preserve"> </w:t>
      </w:r>
      <w:r>
        <w:rPr>
          <w:bCs/>
          <w:b/>
        </w:rPr>
        <w:t xml:space="preserve">Spain Valencia</w:t>
      </w:r>
      <w:r>
        <w:t xml:space="preserve"> </w:t>
      </w:r>
      <w:r>
        <w:t xml:space="preserve">market, competitors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Strengths</w:t>
            </w:r>
          </w:p>
        </w:tc>
        <w:tc>
          <w:tcPr/>
          <w:p>
            <w:pPr>
              <w:pStyle w:val="Compact"/>
              <w:jc w:val="left"/>
            </w:pPr>
            <w:r>
              <w:t xml:space="preserve">Weaknesses (Our Opportunity)</w:t>
            </w:r>
          </w:p>
        </w:tc>
      </w:tr>
      <w:tr>
        <w:tc>
          <w:tcPr/>
          <w:p>
            <w:pPr>
              <w:pStyle w:val="Compact"/>
              <w:jc w:val="left"/>
            </w:pPr>
            <w:r>
              <w:t xml:space="preserve">National EdTech Firms</w:t>
            </w:r>
          </w:p>
        </w:tc>
        <w:tc>
          <w:tcPr/>
          <w:p>
            <w:pPr>
              <w:pStyle w:val="Compact"/>
              <w:jc w:val="left"/>
            </w:pPr>
            <w:r>
              <w:t xml:space="preserve">Strong tech infrastructure</w:t>
            </w:r>
          </w:p>
        </w:tc>
        <w:tc>
          <w:tcPr/>
          <w:p>
            <w:pPr>
              <w:pStyle w:val="Compact"/>
              <w:jc w:val="left"/>
            </w:pPr>
            <w:r>
              <w:t xml:space="preserve">Lack of local curriculum expertise; generic solutions for Valencia's specific needs</w:t>
            </w:r>
          </w:p>
        </w:tc>
      </w:tr>
      <w:tr>
        <w:tc>
          <w:tcPr/>
          <w:p>
            <w:pPr>
              <w:pStyle w:val="Compact"/>
              <w:jc w:val="left"/>
            </w:pPr>
            <w:r>
              <w:t xml:space="preserve">University-Based Developers</w:t>
            </w:r>
          </w:p>
        </w:tc>
        <w:tc>
          <w:tcPr/>
          <w:p>
            <w:pPr>
              <w:pStyle w:val="Compact"/>
              <w:jc w:val="left"/>
            </w:pPr>
            <w:r>
              <w:t xml:space="preserve">Academic credibility</w:t>
            </w:r>
          </w:p>
        </w:tc>
        <w:tc>
          <w:tcPr/>
          <w:p>
            <w:pPr>
              <w:pStyle w:val="Compact"/>
              <w:jc w:val="left"/>
            </w:pPr>
            <w:r>
              <w:t xml:space="preserve">Narrow institutional focus; slow implementation cycles (6-12 months)</w:t>
            </w:r>
          </w:p>
        </w:tc>
      </w:tr>
      <w:tr>
        <w:tc>
          <w:tcPr/>
          <w:p>
            <w:pPr>
              <w:pStyle w:val="Compact"/>
              <w:jc w:val="left"/>
            </w:pPr>
            <w:r>
              <w:t xml:space="preserve">Local Freelancers</w:t>
            </w:r>
          </w:p>
        </w:tc>
        <w:tc>
          <w:tcPr/>
          <w:p>
            <w:pPr>
              <w:pStyle w:val="Compact"/>
              <w:jc w:val="left"/>
            </w:pPr>
            <w:r>
              <w:t xml:space="preserve">Low cost per project</w:t>
            </w:r>
          </w:p>
        </w:tc>
        <w:tc>
          <w:tcPr/>
          <w:p>
            <w:pPr>
              <w:pStyle w:val="Compact"/>
              <w:jc w:val="left"/>
            </w:pPr>
            <w:r>
              <w:t xml:space="preserve">No comprehensive service; inconsistent quality; no regulatory compliance assurance</w:t>
            </w:r>
          </w:p>
        </w:tc>
      </w:tr>
    </w:tbl>
    <w:bookmarkEnd w:id="22"/>
    <w:bookmarkStart w:id="23" w:name="marketing-objectives-18-month-horizon"/>
    <w:p>
      <w:pPr>
        <w:pStyle w:val="Heading2"/>
      </w:pPr>
      <w:r>
        <w:t xml:space="preserve">4. Marketing Objectives (18-Month Horizon)</w:t>
      </w:r>
    </w:p>
    <w:p>
      <w:pPr>
        <w:numPr>
          <w:ilvl w:val="0"/>
          <w:numId w:val="1002"/>
        </w:numPr>
        <w:pStyle w:val="Compact"/>
      </w:pPr>
      <w:r>
        <w:rPr>
          <w:bCs/>
          <w:b/>
        </w:rPr>
        <w:t xml:space="preserve">Market Penetration:</w:t>
      </w:r>
      <w:r>
        <w:t xml:space="preserve"> </w:t>
      </w:r>
      <w:r>
        <w:t xml:space="preserve">Secure contracts with 35+ schools/consortia across Valencia province</w:t>
      </w:r>
    </w:p>
    <w:p>
      <w:pPr>
        <w:numPr>
          <w:ilvl w:val="0"/>
          <w:numId w:val="1002"/>
        </w:numPr>
        <w:pStyle w:val="Compact"/>
      </w:pPr>
      <w:r>
        <w:rPr>
          <w:bCs/>
          <w:b/>
        </w:rPr>
        <w:t xml:space="preserve">Brand Positioning:</w:t>
      </w:r>
      <w:r>
        <w:t xml:space="preserve"> </w:t>
      </w:r>
      <w:r>
        <w:t xml:space="preserve">Achieve 85% recognition as "Valencia's Preferred Curriculum Developer" in education circles</w:t>
      </w:r>
    </w:p>
    <w:p>
      <w:pPr>
        <w:numPr>
          <w:ilvl w:val="0"/>
          <w:numId w:val="1002"/>
        </w:numPr>
        <w:pStyle w:val="Compact"/>
      </w:pPr>
      <w:r>
        <w:rPr>
          <w:bCs/>
          <w:b/>
        </w:rPr>
        <w:t xml:space="preserve">Institutional Trust:</w:t>
      </w:r>
      <w:r>
        <w:t xml:space="preserve"> </w:t>
      </w:r>
      <w:r>
        <w:t xml:space="preserve">Achieve 90% client retention rate through LOMLOE compliance guarantees</w:t>
      </w:r>
    </w:p>
    <w:p>
      <w:pPr>
        <w:numPr>
          <w:ilvl w:val="0"/>
          <w:numId w:val="1002"/>
        </w:numPr>
        <w:pStyle w:val="Compact"/>
      </w:pPr>
      <w:r>
        <w:rPr>
          <w:bCs/>
          <w:b/>
        </w:rPr>
        <w:t xml:space="preserve">Digital Presence:</w:t>
      </w:r>
      <w:r>
        <w:t xml:space="preserve"> </w:t>
      </w:r>
      <w:r>
        <w:t xml:space="preserve">Generate 12,000 qualified leads from Valencian educational institutions</w:t>
      </w:r>
    </w:p>
    <w:bookmarkEnd w:id="23"/>
    <w:bookmarkStart w:id="27" w:name="strategic-marketing-plan"/>
    <w:p>
      <w:pPr>
        <w:pStyle w:val="Heading2"/>
      </w:pPr>
      <w:r>
        <w:t xml:space="preserve">5. Strategic Marketing Plan</w:t>
      </w:r>
    </w:p>
    <w:p>
      <w:pPr>
        <w:pStyle w:val="FirstParagraph"/>
      </w:pPr>
      <w:r>
        <w:rPr>
          <w:iCs/>
          <w:i/>
        </w:rPr>
        <w:t xml:space="preserve">Core Strategy: Hyper-Localized Curriculum Development with Valencia-Specific Differentiation</w:t>
      </w:r>
    </w:p>
    <w:bookmarkStart w:id="24" w:name="product-positioning"/>
    <w:p>
      <w:pPr>
        <w:pStyle w:val="Heading3"/>
      </w:pPr>
      <w:r>
        <w:t xml:space="preserve">5.1 Product Positioning</w:t>
      </w:r>
    </w:p>
    <w:p>
      <w:pPr>
        <w:numPr>
          <w:ilvl w:val="0"/>
          <w:numId w:val="1003"/>
        </w:numPr>
        <w:pStyle w:val="Compact"/>
      </w:pPr>
      <w:r>
        <w:rPr>
          <w:bCs/>
          <w:b/>
        </w:rPr>
        <w:t xml:space="preserve">Cultural Integration:</w:t>
      </w:r>
      <w:r>
        <w:t xml:space="preserve"> </w:t>
      </w:r>
      <w:r>
        <w:t xml:space="preserve">Curriculum modules featuring Valencian history (e.g., "Cid" in Literature, Paella in STEM), local environmental studies (Ebro River ecosystems)</w:t>
      </w:r>
    </w:p>
    <w:p>
      <w:pPr>
        <w:numPr>
          <w:ilvl w:val="0"/>
          <w:numId w:val="1003"/>
        </w:numPr>
        <w:pStyle w:val="Compact"/>
      </w:pPr>
      <w:r>
        <w:rPr>
          <w:bCs/>
          <w:b/>
        </w:rPr>
        <w:t xml:space="preserve">Regulatory Precision:</w:t>
      </w:r>
      <w:r>
        <w:t xml:space="preserve"> </w:t>
      </w:r>
      <w:r>
        <w:t xml:space="preserve">100% compliance with Valencian Education Plan (PEV) and LOMLOE mandates</w:t>
      </w:r>
    </w:p>
    <w:p>
      <w:pPr>
        <w:numPr>
          <w:ilvl w:val="0"/>
          <w:numId w:val="1003"/>
        </w:numPr>
        <w:pStyle w:val="Compact"/>
      </w:pPr>
      <w:r>
        <w:rPr>
          <w:bCs/>
          <w:b/>
        </w:rPr>
        <w:t xml:space="preserve">Sustainable Approach:</w:t>
      </w:r>
      <w:r>
        <w:t xml:space="preserve"> </w:t>
      </w:r>
      <w:r>
        <w:t xml:space="preserve">Modular design enabling schools to adopt sections incrementally (reducing budget concerns)</w:t>
      </w:r>
    </w:p>
    <w:bookmarkEnd w:id="24"/>
    <w:bookmarkStart w:id="25" w:name="targeted-marketing-channels"/>
    <w:p>
      <w:pPr>
        <w:pStyle w:val="Heading3"/>
      </w:pPr>
      <w:r>
        <w:t xml:space="preserve">5.2 Targeted Marketing Channels</w:t>
      </w:r>
    </w:p>
    <w:p>
      <w:pPr>
        <w:pStyle w:val="FirstParagraph"/>
      </w:pPr>
      <w:r>
        <w:t xml:space="preserve">We deploy a multi-channel strategy optimized for Valencian educational stakeholders:</w:t>
      </w:r>
    </w:p>
    <w:p>
      <w:pPr>
        <w:numPr>
          <w:ilvl w:val="0"/>
          <w:numId w:val="1004"/>
        </w:numPr>
        <w:pStyle w:val="Compact"/>
      </w:pPr>
      <w:r>
        <w:rPr>
          <w:bCs/>
          <w:b/>
        </w:rPr>
        <w:t xml:space="preserve">Direct Engagement:</w:t>
      </w:r>
      <w:r>
        <w:t xml:space="preserve"> </w:t>
      </w:r>
      <w:r>
        <w:t xml:space="preserve">Partnerships with Valencia's Education Cluster (CEP) and "Conselleria d'Educació" to co-host workshops in Valencia City, Alicante, and Castellón</w:t>
      </w:r>
    </w:p>
    <w:p>
      <w:pPr>
        <w:numPr>
          <w:ilvl w:val="0"/>
          <w:numId w:val="1004"/>
        </w:numPr>
        <w:pStyle w:val="Compact"/>
      </w:pPr>
      <w:r>
        <w:rPr>
          <w:bCs/>
          <w:b/>
        </w:rPr>
        <w:t xml:space="preserve">Digital Focus:</w:t>
      </w:r>
      <w:r>
        <w:t xml:space="preserve"> </w:t>
      </w:r>
      <w:r>
        <w:t xml:space="preserve">LinkedIn campaigns targeting Valencian school directors; SEO-optimized content on "LOMLOE curriculum development Spain Valencia"</w:t>
      </w:r>
    </w:p>
    <w:p>
      <w:pPr>
        <w:numPr>
          <w:ilvl w:val="0"/>
          <w:numId w:val="1004"/>
        </w:numPr>
        <w:pStyle w:val="Compact"/>
      </w:pPr>
      <w:r>
        <w:rPr>
          <w:bCs/>
          <w:b/>
        </w:rPr>
        <w:t xml:space="preserve">Community Building:</w:t>
      </w:r>
      <w:r>
        <w:t xml:space="preserve"> </w:t>
      </w:r>
      <w:r>
        <w:t xml:space="preserve">Free monthly webinars with Valencian education experts (e.g., Dr. Maria Soler, University of Valencia) on "Implementing Competence-Based Learning in Valencian Schools"</w:t>
      </w:r>
    </w:p>
    <w:p>
      <w:pPr>
        <w:numPr>
          <w:ilvl w:val="0"/>
          <w:numId w:val="1004"/>
        </w:numPr>
        <w:pStyle w:val="Compact"/>
      </w:pPr>
      <w:r>
        <w:rPr>
          <w:bCs/>
          <w:b/>
        </w:rPr>
        <w:t xml:space="preserve">Localized Content:</w:t>
      </w:r>
      <w:r>
        <w:t xml:space="preserve"> </w:t>
      </w:r>
      <w:r>
        <w:t xml:space="preserve">Spanish-language case studies featuring successful implementations at schools like Colegio Las Cigüeñas (Valencia) and Instituto de Segunda Enseñanza (Alicante)</w:t>
      </w:r>
    </w:p>
    <w:bookmarkEnd w:id="25"/>
    <w:bookmarkStart w:id="26" w:name="pricing-strategy"/>
    <w:p>
      <w:pPr>
        <w:pStyle w:val="Heading3"/>
      </w:pPr>
      <w:r>
        <w:t xml:space="preserve">5.3 Pricing Strategy</w:t>
      </w:r>
    </w:p>
    <w:p>
      <w:pPr>
        <w:pStyle w:val="FirstParagraph"/>
      </w:pPr>
      <w:r>
        <w:t xml:space="preserve">We offer tiered pricing aligned with Valencian public school budgets:</w:t>
      </w:r>
    </w:p>
    <w:p>
      <w:pPr>
        <w:numPr>
          <w:ilvl w:val="0"/>
          <w:numId w:val="1005"/>
        </w:numPr>
        <w:pStyle w:val="Compact"/>
      </w:pPr>
      <w:r>
        <w:rPr>
          <w:bCs/>
          <w:b/>
        </w:rPr>
        <w:t xml:space="preserve">Basic Package (€8,500):</w:t>
      </w:r>
      <w:r>
        <w:t xml:space="preserve"> </w:t>
      </w:r>
      <w:r>
        <w:t xml:space="preserve">Core LOMLOE-compliant curriculum for 1 subject area (e.g., Mathematics)</w:t>
      </w:r>
    </w:p>
    <w:p>
      <w:pPr>
        <w:numPr>
          <w:ilvl w:val="0"/>
          <w:numId w:val="1005"/>
        </w:numPr>
        <w:pStyle w:val="Compact"/>
      </w:pPr>
      <w:r>
        <w:rPr>
          <w:bCs/>
          <w:b/>
        </w:rPr>
        <w:t xml:space="preserve">Valencia Premium (€24,750):</w:t>
      </w:r>
      <w:r>
        <w:t xml:space="preserve"> </w:t>
      </w:r>
      <w:r>
        <w:t xml:space="preserve">Full school curriculum with Valencian cultural integration + digital toolkit</w:t>
      </w:r>
    </w:p>
    <w:p>
      <w:pPr>
        <w:numPr>
          <w:ilvl w:val="0"/>
          <w:numId w:val="1005"/>
        </w:numPr>
        <w:pStyle w:val="Compact"/>
      </w:pPr>
      <w:r>
        <w:rPr>
          <w:bCs/>
          <w:b/>
        </w:rPr>
        <w:t xml:space="preserve">Institutional Partnership (€65,000+):</w:t>
      </w:r>
      <w:r>
        <w:t xml:space="preserve"> </w:t>
      </w:r>
      <w:r>
        <w:t xml:space="preserve">Ongoing development for multiple schools with 3-year support contract</w:t>
      </w:r>
    </w:p>
    <w:bookmarkEnd w:id="26"/>
    <w:bookmarkEnd w:id="27"/>
    <w:bookmarkStart w:id="28" w:name="implementation-timeline-q1-q3-2024"/>
    <w:p>
      <w:pPr>
        <w:pStyle w:val="Heading2"/>
      </w:pPr>
      <w:r>
        <w:t xml:space="preserve">6. Implementation Timeline (Q1-Q3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Spain Valencia Focus</w:t>
            </w:r>
          </w:p>
        </w:tc>
      </w:tr>
      <w:tr>
        <w:tc>
          <w:tcPr/>
          <w:p>
            <w:pPr>
              <w:pStyle w:val="Compact"/>
              <w:jc w:val="left"/>
            </w:pPr>
            <w:r>
              <w:t xml:space="preserve">Q1 2024</w:t>
            </w:r>
          </w:p>
        </w:tc>
        <w:tc>
          <w:tcPr/>
          <w:p>
            <w:pPr>
              <w:pStyle w:val="Compact"/>
              <w:jc w:val="left"/>
            </w:pPr>
            <w:r>
              <w:t xml:space="preserve">Establish partnerships with Conselleria d'Educació; Launch Valencian-language website</w:t>
            </w:r>
          </w:p>
        </w:tc>
        <w:tc>
          <w:tcPr/>
          <w:p>
            <w:pPr>
              <w:pStyle w:val="Compact"/>
              <w:jc w:val="left"/>
            </w:pPr>
            <w:r>
              <w:t xml:space="preserve">Co-host summit with Generalitat de València at Palau de la Generalitat, Valencia</w:t>
            </w:r>
          </w:p>
        </w:tc>
      </w:tr>
      <w:tr>
        <w:tc>
          <w:tcPr/>
          <w:p>
            <w:pPr>
              <w:pStyle w:val="Compact"/>
              <w:jc w:val="left"/>
            </w:pPr>
            <w:r>
              <w:t xml:space="preserve">Q2 2024</w:t>
            </w:r>
          </w:p>
        </w:tc>
        <w:tc>
          <w:tcPr/>
          <w:p>
            <w:pPr>
              <w:pStyle w:val="Compact"/>
              <w:jc w:val="left"/>
            </w:pPr>
            <w:r>
              <w:t xml:space="preserve">Deploy pilot programs in 10 schools across Valencia province; Begin webinar series</w:t>
            </w:r>
          </w:p>
        </w:tc>
        <w:tc>
          <w:tcPr/>
          <w:p>
            <w:pPr>
              <w:pStyle w:val="Compact"/>
              <w:jc w:val="left"/>
            </w:pPr>
            <w:r>
              <w:t xml:space="preserve">Pilot at CEIP El Serrallo (Valencia City) and IES La Ribera (Alzira)</w:t>
            </w:r>
          </w:p>
        </w:tc>
      </w:tr>
      <w:tr>
        <w:tc>
          <w:tcPr/>
          <w:p>
            <w:pPr>
              <w:pStyle w:val="Compact"/>
              <w:jc w:val="left"/>
            </w:pPr>
            <w:r>
              <w:t xml:space="preserve">Q3 2024</w:t>
            </w:r>
          </w:p>
        </w:tc>
        <w:tc>
          <w:tcPr/>
          <w:p>
            <w:pPr>
              <w:pStyle w:val="Compact"/>
              <w:jc w:val="left"/>
            </w:pPr>
            <w:r>
              <w:t xml:space="preserve">Scale successful pilots; Publish Valencian case study book</w:t>
            </w:r>
          </w:p>
        </w:tc>
        <w:tc>
          <w:tcPr/>
          <w:p>
            <w:pPr>
              <w:pStyle w:val="Compact"/>
              <w:jc w:val="left"/>
            </w:pPr>
            <w:r>
              <w:t xml:space="preserve">Distribute to all 5,800+ schools in Valencia through Education Department channels</w:t>
            </w:r>
          </w:p>
        </w:tc>
      </w:tr>
    </w:tbl>
    <w:bookmarkEnd w:id="28"/>
    <w:bookmarkStart w:id="29" w:name="measurement-evaluation-framework"/>
    <w:p>
      <w:pPr>
        <w:pStyle w:val="Heading2"/>
      </w:pPr>
      <w:r>
        <w:t xml:space="preserve">7. Measurement &amp; Evaluation Framework</w:t>
      </w:r>
    </w:p>
    <w:p>
      <w:pPr>
        <w:pStyle w:val="FirstParagraph"/>
      </w:pPr>
      <w:r>
        <w:t xml:space="preserve">We track success through education-specific metrics:</w:t>
      </w:r>
    </w:p>
    <w:p>
      <w:pPr>
        <w:numPr>
          <w:ilvl w:val="0"/>
          <w:numId w:val="1006"/>
        </w:numPr>
        <w:pStyle w:val="Compact"/>
      </w:pPr>
      <w:r>
        <w:rPr>
          <w:bCs/>
          <w:b/>
        </w:rPr>
        <w:t xml:space="preserve">Market Share:</w:t>
      </w:r>
      <w:r>
        <w:t xml:space="preserve"> </w:t>
      </w:r>
      <w:r>
        <w:t xml:space="preserve">Quarterly analysis of contracts secured in Valencia (vs. regional competitors)</w:t>
      </w:r>
    </w:p>
    <w:p>
      <w:pPr>
        <w:numPr>
          <w:ilvl w:val="0"/>
          <w:numId w:val="1006"/>
        </w:numPr>
        <w:pStyle w:val="Compact"/>
      </w:pPr>
      <w:r>
        <w:rPr>
          <w:bCs/>
          <w:b/>
        </w:rPr>
        <w:t xml:space="preserve">Institutional Impact:</w:t>
      </w:r>
      <w:r>
        <w:t xml:space="preserve"> </w:t>
      </w:r>
      <w:r>
        <w:t xml:space="preserve">Post-implementation surveys measuring LOMLOE compliance (target: 95% satisfaction)</w:t>
      </w:r>
    </w:p>
    <w:p>
      <w:pPr>
        <w:numPr>
          <w:ilvl w:val="0"/>
          <w:numId w:val="1006"/>
        </w:numPr>
        <w:pStyle w:val="Compact"/>
      </w:pPr>
      <w:r>
        <w:rPr>
          <w:bCs/>
          <w:b/>
        </w:rPr>
        <w:t xml:space="preserve">Cultural Relevance:</w:t>
      </w:r>
      <w:r>
        <w:t xml:space="preserve"> </w:t>
      </w:r>
      <w:r>
        <w:t xml:space="preserve">Student engagement metrics in Valencian-specific modules (e.g., participation rates in local history units)</w:t>
      </w:r>
    </w:p>
    <w:p>
      <w:pPr>
        <w:numPr>
          <w:ilvl w:val="0"/>
          <w:numId w:val="1006"/>
        </w:numPr>
        <w:pStyle w:val="Compact"/>
      </w:pPr>
      <w:r>
        <w:rPr>
          <w:bCs/>
          <w:b/>
        </w:rPr>
        <w:t xml:space="preserve">ROI:</w:t>
      </w:r>
      <w:r>
        <w:t xml:space="preserve"> </w:t>
      </w:r>
      <w:r>
        <w:t xml:space="preserve">Cost per successfully implemented school vs. public education budget allocations</w:t>
      </w:r>
    </w:p>
    <w:bookmarkEnd w:id="29"/>
    <w:bookmarkStart w:id="30" w:name="budget-allocation-total-185000"/>
    <w:p>
      <w:pPr>
        <w:pStyle w:val="Heading2"/>
      </w:pPr>
      <w:r>
        <w:t xml:space="preserve">8. 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Spain Valencia Focus</w:t>
            </w:r>
          </w:p>
        </w:tc>
      </w:tr>
      <w:tr>
        <w:tc>
          <w:tcPr/>
          <w:p>
            <w:pPr>
              <w:pStyle w:val="Compact"/>
              <w:jc w:val="left"/>
            </w:pPr>
            <w:r>
              <w:t xml:space="preserve">Local Partnership Development</w:t>
            </w:r>
          </w:p>
        </w:tc>
        <w:tc>
          <w:tcPr/>
          <w:p>
            <w:pPr>
              <w:pStyle w:val="Compact"/>
              <w:jc w:val="left"/>
            </w:pPr>
            <w:r>
              <w:t xml:space="preserve">€45,000 (24%)</w:t>
            </w:r>
          </w:p>
        </w:tc>
        <w:tc>
          <w:tcPr/>
          <w:p>
            <w:pPr>
              <w:pStyle w:val="Compact"/>
              <w:jc w:val="left"/>
            </w:pPr>
            <w:r>
              <w:t xml:space="preserve">Funding Conselleria d'Educació co-marketing initiatives; regional workshops in Valencia, Alicante, Castellón</w:t>
            </w:r>
          </w:p>
        </w:tc>
      </w:tr>
      <w:tr>
        <w:tc>
          <w:tcPr/>
          <w:p>
            <w:pPr>
              <w:pStyle w:val="Compact"/>
              <w:jc w:val="left"/>
            </w:pPr>
            <w:r>
              <w:t xml:space="preserve">Digital Campaigns (LinkedIn/SEO)</w:t>
            </w:r>
          </w:p>
        </w:tc>
        <w:tc>
          <w:tcPr/>
          <w:p>
            <w:pPr>
              <w:pStyle w:val="Compact"/>
              <w:jc w:val="left"/>
            </w:pPr>
            <w:r>
              <w:t xml:space="preserve">€52,000 (28%)</w:t>
            </w:r>
          </w:p>
        </w:tc>
        <w:tc>
          <w:tcPr/>
          <w:p>
            <w:pPr>
              <w:pStyle w:val="Compact"/>
              <w:jc w:val="left"/>
            </w:pPr>
            <w:r>
              <w:t xml:space="preserve">Tailored Spanish-language ads targeting Valencian school administrators; content in Valencian dialect where appropriate</w:t>
            </w:r>
          </w:p>
        </w:tc>
      </w:tr>
      <w:tr>
        <w:tc>
          <w:tcPr/>
          <w:p>
            <w:pPr>
              <w:pStyle w:val="Compact"/>
              <w:jc w:val="left"/>
            </w:pPr>
            <w:r>
              <w:t xml:space="preserve">Content Creation</w:t>
            </w:r>
          </w:p>
        </w:tc>
        <w:tc>
          <w:tcPr/>
          <w:p>
            <w:pPr>
              <w:pStyle w:val="Compact"/>
              <w:jc w:val="left"/>
            </w:pPr>
            <w:r>
              <w:t xml:space="preserve">€43,500 (23%)</w:t>
            </w:r>
          </w:p>
        </w:tc>
        <w:tc>
          <w:tcPr/>
          <w:p>
            <w:pPr>
              <w:pStyle w:val="Compact"/>
              <w:jc w:val="left"/>
            </w:pPr>
            <w:r>
              <w:t xml:space="preserve">Cases studies filmed on location at Valencia schools; LOMLOE compliance guides for Valencian institutions</w:t>
            </w:r>
          </w:p>
        </w:tc>
      </w:tr>
      <w:tr>
        <w:tc>
          <w:tcPr/>
          <w:p>
            <w:pPr>
              <w:pStyle w:val="Compact"/>
              <w:jc w:val="left"/>
            </w:pPr>
            <w:r>
              <w:t xml:space="preserve">Implementation &amp; Support</w:t>
            </w:r>
          </w:p>
        </w:tc>
        <w:tc>
          <w:tcPr/>
          <w:p>
            <w:pPr>
              <w:pStyle w:val="Compact"/>
              <w:jc w:val="left"/>
            </w:pPr>
            <w:r>
              <w:t xml:space="preserve">€44,500 (24%)</w:t>
            </w:r>
          </w:p>
        </w:tc>
        <w:tc>
          <w:tcPr/>
          <w:p>
            <w:pPr>
              <w:pStyle w:val="Compact"/>
              <w:jc w:val="left"/>
            </w:pPr>
            <w:r>
              <w:t xml:space="preserve">Dedicated Valencian-speaking project managers for all client engagements in Spain Valencia region</w:t>
            </w:r>
          </w:p>
        </w:tc>
      </w:tr>
    </w:tbl>
    <w:bookmarkEnd w:id="30"/>
    <w:bookmarkStart w:id="31" w:name="conclusion-the-valencia-advantage"/>
    <w:p>
      <w:pPr>
        <w:pStyle w:val="Heading2"/>
      </w:pPr>
      <w:r>
        <w:t xml:space="preserve">9. Conclusion: The Valencia Advantage</w:t>
      </w:r>
    </w:p>
    <w:p>
      <w:pPr>
        <w:pStyle w:val="FirstParagraph"/>
      </w:pPr>
      <w:r>
        <w:t xml:space="preserve">This Marketing Plan positions our</w:t>
      </w:r>
      <w:r>
        <w:t xml:space="preserve"> </w:t>
      </w:r>
      <w:r>
        <w:rPr>
          <w:bCs/>
          <w:b/>
        </w:rPr>
        <w:t xml:space="preserve">Curriculum Developer</w:t>
      </w:r>
      <w:r>
        <w:t xml:space="preserve"> </w:t>
      </w:r>
      <w:r>
        <w:t xml:space="preserve">service not as a generic provider, but as an indispensable partner for</w:t>
      </w:r>
      <w:r>
        <w:t xml:space="preserve"> </w:t>
      </w:r>
      <w:r>
        <w:rPr>
          <w:bCs/>
          <w:b/>
        </w:rPr>
        <w:t xml:space="preserve">Spain Valencia</w:t>
      </w:r>
      <w:r>
        <w:t xml:space="preserve">'s educational transformation. By embedding Valencian cultural identity into every curriculum module while ensuring full regulatory compliance with LOMLOE and PEV, we deliver solutions that resonate with local educators' authentic needs. Our hyper-targeted approach in the Valencia market—leveraging regional partnerships, linguistic nuances, and institutional priorities—ensures sustainable growth where competitors lack cultural intelligence. This plan represents the definitive roadmap for becoming València's most trusted</w:t>
      </w:r>
      <w:r>
        <w:t xml:space="preserve"> </w:t>
      </w:r>
      <w:r>
        <w:rPr>
          <w:bCs/>
          <w:b/>
        </w:rPr>
        <w:t xml:space="preserve">Curriculum Developer</w:t>
      </w:r>
      <w:r>
        <w:t xml:space="preserve">, driving measurable educational impact while achieving commercial success within Spain's vibrant Valencian education ecosystem.</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601">
    <w:nsid w:val="A99601"/>
    <w:multiLevelType w:val="multilevel"/>
    <w:lvl w:ilvl="0">
      <w:start w:val="1"/>
      <w:numFmt w:val="upperRoman"/>
      <w:lvlText w:val="%1."/>
      <w:lvlJc w:val="left"/>
      <w:pPr>
        <w:ind w:left="720" w:hanging="480"/>
      </w:pPr>
    </w:lvl>
    <w:lvl w:ilvl="1">
      <w:start w:val="1"/>
      <w:numFmt w:val="upperRoman"/>
      <w:lvlText w:val="%2."/>
      <w:lvlJc w:val="left"/>
      <w:pPr>
        <w:ind w:left="1440" w:hanging="480"/>
      </w:pPr>
    </w:lvl>
    <w:lvl w:ilvl="2">
      <w:start w:val="1"/>
      <w:numFmt w:val="upperRoman"/>
      <w:lvlText w:val="%3."/>
      <w:lvlJc w:val="left"/>
      <w:pPr>
        <w:ind w:left="2160" w:hanging="480"/>
      </w:pPr>
    </w:lvl>
    <w:lvl w:ilvl="3">
      <w:start w:val="1"/>
      <w:numFmt w:val="upperRoman"/>
      <w:lvlText w:val="%4."/>
      <w:lvlJc w:val="left"/>
      <w:pPr>
        <w:ind w:left="2880" w:hanging="480"/>
      </w:pPr>
    </w:lvl>
    <w:lvl w:ilvl="4">
      <w:start w:val="1"/>
      <w:numFmt w:val="upperRoman"/>
      <w:lvlText w:val="%5."/>
      <w:lvlJc w:val="left"/>
      <w:pPr>
        <w:ind w:left="3600" w:hanging="480"/>
      </w:pPr>
    </w:lvl>
    <w:lvl w:ilvl="5">
      <w:start w:val="1"/>
      <w:numFmt w:val="upperRoman"/>
      <w:lvlText w:val="%6."/>
      <w:lvlJc w:val="left"/>
      <w:pPr>
        <w:ind w:left="4320" w:hanging="480"/>
      </w:pPr>
    </w:lvl>
    <w:lvl w:ilvl="6">
      <w:start w:val="1"/>
      <w:numFmt w:val="upperRoman"/>
      <w:lvlText w:val="%7."/>
      <w:lvlJc w:val="left"/>
      <w:pPr>
        <w:ind w:left="5040" w:hanging="480"/>
      </w:pPr>
    </w:lvl>
    <w:lvl w:ilvl="7">
      <w:start w:val="1"/>
      <w:numFmt w:val="upperRoman"/>
      <w:lvlText w:val="%8."/>
      <w:lvlJc w:val="left"/>
      <w:pPr>
        <w:ind w:left="5760" w:hanging="480"/>
      </w:pPr>
    </w:lvl>
    <w:lvl w:ilvl="8">
      <w:start w:val="1"/>
      <w:numFmt w:val="upperRoman"/>
      <w:lvlText w:val="%9."/>
      <w:lvlJc w:val="left"/>
      <w:pPr>
        <w:ind w:left="6480" w:hanging="480"/>
      </w:pPr>
    </w:lvl>
  </w:abstractNum>
  <w:num w:numId="1000">
    <w:abstractNumId w:val="990"/>
  </w:num>
  <w:num w:numId="1001">
    <w:abstractNumId w:val="991"/>
  </w:num>
  <w:num w:numId="1002">
    <w:abstractNumId w:val="996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Spain Valencia</dc:title>
  <dc:creator/>
  <dc:language>en</dc:language>
  <cp:keywords/>
  <dcterms:created xsi:type="dcterms:W3CDTF">2026-07-14T21:46:37Z</dcterms:created>
  <dcterms:modified xsi:type="dcterms:W3CDTF">2026-07-14T21:46:37Z</dcterms:modified>
</cp:coreProperties>
</file>

<file path=docProps/custom.xml><?xml version="1.0" encoding="utf-8"?>
<Properties xmlns="http://schemas.openxmlformats.org/officeDocument/2006/custom-properties" xmlns:vt="http://schemas.openxmlformats.org/officeDocument/2006/docPropsVTypes"/>
</file>