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32" w:name="Xc49b3284b316a04ddd8880b4e5567b6429b836b"/>
    <w:p>
      <w:pPr>
        <w:pStyle w:val="Heading1"/>
      </w:pPr>
      <w:r>
        <w:t xml:space="preserve">Marketing Plan: Attracting Elite Curriculum Developers for Tashkent's Education Sector</w:t>
      </w:r>
    </w:p>
    <w:bookmarkStart w:id="20" w:name="executive-summary"/>
    <w:p>
      <w:pPr>
        <w:pStyle w:val="Heading2"/>
      </w:pPr>
      <w:r>
        <w:t xml:space="preserve">Executive Summary</w:t>
      </w:r>
    </w:p>
    <w:p>
      <w:pPr>
        <w:pStyle w:val="FirstParagraph"/>
      </w:pPr>
      <w:r>
        <w:t xml:space="preserve">This comprehensive Marketing Plan details strategies to recruit a highly skilled Curriculum Developer for educational institutions across Uzbekistan Tashkent. As Uzbekistan accelerates its education modernization under National Development Strategy 2030, the demand for innovative curriculum experts has surged. This plan targets qualified professionals who can design future-ready curricula aligned with both national education standards and global best practices, positioning Tashkent as a regional hub for educational excellence.</w:t>
      </w:r>
    </w:p>
    <w:bookmarkEnd w:id="20"/>
    <w:bookmarkStart w:id="21" w:name="X08c2824dfbece3ecb079ce247c0670141d9737a"/>
    <w:p>
      <w:pPr>
        <w:pStyle w:val="Heading2"/>
      </w:pPr>
      <w:r>
        <w:t xml:space="preserve">Market Analysis: Uzbekistan's Education Transformation</w:t>
      </w:r>
    </w:p>
    <w:p>
      <w:pPr>
        <w:pStyle w:val="FirstParagraph"/>
      </w:pPr>
      <w:r>
        <w:t xml:space="preserve">Uzbekistan Tashkent is undergoing unprecedented educational reform. The government has allocated $500 million to modernize K-12 and higher education systems, prioritizing digital literacy, STEM integration, and vocational training. With over 1.8 million students in Tashkent alone (Uzbekistan Ministry of Education 2023), institutions urgently require Curriculum Developers who understand:</w:t>
      </w:r>
      <w:r>
        <w:t xml:space="preserve"> </w:t>
      </w:r>
      <w:r>
        <w:t xml:space="preserve">- National standards like "School of the Future" initiative</w:t>
      </w:r>
      <w:r>
        <w:t xml:space="preserve"> </w:t>
      </w:r>
      <w:r>
        <w:t xml:space="preserve">- Bilingual (Uzbek/English) curriculum design requirements</w:t>
      </w:r>
      <w:r>
        <w:t xml:space="preserve"> </w:t>
      </w:r>
      <w:r>
        <w:t xml:space="preserve">- Technical integration with platforms like e-learning ecosystems (e.g., UzEdu)</w:t>
      </w:r>
      <w:r>
        <w:t xml:space="preserve"> </w:t>
      </w:r>
      <w:r>
        <w:t xml:space="preserve">Current vacancies remain unfilled due to a 40% talent gap in specialized curriculum roles. Competitors include international organizations (UNICEF, World Bank projects), but local institutions gain advantage through cultural fluency and government partnerships.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Uzbekistan citizens with advanced degrees in education (M.Ed. or PhD), 5+ years' experience designing curricula for national systems. Prior work at Tashkent universities (e.g., National University, Tashkent State Pedagogical University) preferred.</w:t>
      </w:r>
    </w:p>
    <w:p>
      <w:pPr>
        <w:numPr>
          <w:ilvl w:val="0"/>
          <w:numId w:val="1001"/>
        </w:numPr>
        <w:pStyle w:val="Compact"/>
      </w:pPr>
      <w:r>
        <w:rPr>
          <w:bCs/>
          <w:b/>
        </w:rPr>
        <w:t xml:space="preserve">Secondary:</w:t>
      </w:r>
      <w:r>
        <w:t xml:space="preserve"> </w:t>
      </w:r>
      <w:r>
        <w:t xml:space="preserve">International educators with Uzbek language proficiency and experience in Central Asian contexts. Focus on ASEAN and GCC countries where similar educational transitions are occurring.</w:t>
      </w:r>
    </w:p>
    <w:p>
      <w:pPr>
        <w:numPr>
          <w:ilvl w:val="0"/>
          <w:numId w:val="1001"/>
        </w:numPr>
        <w:pStyle w:val="Compact"/>
      </w:pPr>
      <w:r>
        <w:rPr>
          <w:bCs/>
          <w:b/>
        </w:rPr>
        <w:t xml:space="preserve">Tertiary:</w:t>
      </w:r>
      <w:r>
        <w:t xml:space="preserve"> </w:t>
      </w:r>
      <w:r>
        <w:t xml:space="preserve">Alumni of Tashkent-based programs like the "Uzbekistan Teacher Training Academy" seeking leadership roles.</w:t>
      </w:r>
    </w:p>
    <w:bookmarkEnd w:id="22"/>
    <w:bookmarkStart w:id="26" w:name="marketing-strategies-tactics"/>
    <w:p>
      <w:pPr>
        <w:pStyle w:val="Heading2"/>
      </w:pPr>
      <w:r>
        <w:t xml:space="preserve">Marketing Strategies &amp; Tactics</w:t>
      </w:r>
    </w:p>
    <w:bookmarkStart w:id="23" w:name="Xc04e79fe5891106209d946affbf1d0b0271b758"/>
    <w:p>
      <w:pPr>
        <w:pStyle w:val="Heading3"/>
      </w:pPr>
      <w:r>
        <w:t xml:space="preserve">1. Digital Recruitment Campaign (Tashkent-Centric)</w:t>
      </w:r>
    </w:p>
    <w:p>
      <w:pPr>
        <w:pStyle w:val="FirstParagraph"/>
      </w:pPr>
      <w:r>
        <w:t xml:space="preserve">We leverage Uzbekistan's digital landscape with:</w:t>
      </w:r>
      <w:r>
        <w:t xml:space="preserve"> </w:t>
      </w:r>
      <w:r>
        <w:t xml:space="preserve">- Targeted LinkedIn ads using keywords: "Curriculum Developer Tashkent", "Education Reform Uzbekistan"</w:t>
      </w:r>
      <w:r>
        <w:t xml:space="preserve"> </w:t>
      </w:r>
      <w:r>
        <w:t xml:space="preserve">- SEO-optimized content on local platforms (e.g., uz.uz, job.uz) highlighting "Uzbekistan Tashkent Curriculum Development Opportunities"</w:t>
      </w:r>
      <w:r>
        <w:t xml:space="preserve"> </w:t>
      </w:r>
      <w:r>
        <w:t xml:space="preserve">- SMS campaigns to education faculties at 15+ Tashkent universities (e.g., ITI, TATU)</w:t>
      </w:r>
      <w:r>
        <w:t xml:space="preserve"> </w:t>
      </w:r>
      <w:r>
        <w:t xml:space="preserve">*Why it works:* 78% of Uzbek professionals use LinkedIn for career opportunities (DataReportal 2023), and localized digital outreach outperforms traditional recruitment in Tashkent.</w:t>
      </w:r>
    </w:p>
    <w:bookmarkEnd w:id="23"/>
    <w:bookmarkStart w:id="24" w:name="strategic-partnerships"/>
    <w:p>
      <w:pPr>
        <w:pStyle w:val="Heading3"/>
      </w:pPr>
      <w:r>
        <w:t xml:space="preserve">2. Strategic Partnerships</w:t>
      </w:r>
    </w:p>
    <w:p>
      <w:pPr>
        <w:pStyle w:val="FirstParagraph"/>
      </w:pPr>
      <w:r>
        <w:t xml:space="preserve">Collaborate with:</w:t>
      </w:r>
      <w:r>
        <w:t xml:space="preserve"> </w:t>
      </w:r>
      <w:r>
        <w:t xml:space="preserve">-</w:t>
      </w:r>
      <w:r>
        <w:t xml:space="preserve"> </w:t>
      </w:r>
      <w:r>
        <w:rPr>
          <w:bCs/>
          <w:b/>
        </w:rPr>
        <w:t xml:space="preserve">Ministry of Education:</w:t>
      </w:r>
      <w:r>
        <w:t xml:space="preserve"> </w:t>
      </w:r>
      <w:r>
        <w:t xml:space="preserve">Co-host "Curriculum Innovation Forums" at Tashkent's International Convention Center to showcase role impact</w:t>
      </w:r>
      <w:r>
        <w:t xml:space="preserve"> </w:t>
      </w:r>
      <w:r>
        <w:t xml:space="preserve">-</w:t>
      </w:r>
      <w:r>
        <w:t xml:space="preserve"> </w:t>
      </w:r>
      <w:r>
        <w:rPr>
          <w:bCs/>
          <w:b/>
        </w:rPr>
        <w:t xml:space="preserve">Tashkent Universities:</w:t>
      </w:r>
      <w:r>
        <w:t xml:space="preserve"> </w:t>
      </w:r>
      <w:r>
        <w:t xml:space="preserve">Offer faculty referral bonuses for successful hires</w:t>
      </w:r>
      <w:r>
        <w:t xml:space="preserve"> </w:t>
      </w:r>
      <w:r>
        <w:t xml:space="preserve">-</w:t>
      </w:r>
      <w:r>
        <w:t xml:space="preserve"> </w:t>
      </w:r>
      <w:r>
        <w:rPr>
          <w:bCs/>
          <w:b/>
        </w:rPr>
        <w:t xml:space="preserve">UNICEF Uzbekistan:</w:t>
      </w:r>
      <w:r>
        <w:t xml:space="preserve"> </w:t>
      </w:r>
      <w:r>
        <w:t xml:space="preserve">Jointly promote the position as part of national education projects</w:t>
      </w:r>
      <w:r>
        <w:t xml:space="preserve"> </w:t>
      </w:r>
      <w:r>
        <w:t xml:space="preserve">*Tactical advantage:* Partnerships increase credibility with Tashkent-based candidates who value government-aligned initiatives.</w:t>
      </w:r>
    </w:p>
    <w:bookmarkEnd w:id="24"/>
    <w:bookmarkStart w:id="25" w:name="cultural-localization"/>
    <w:p>
      <w:pPr>
        <w:pStyle w:val="Heading3"/>
      </w:pPr>
      <w:r>
        <w:t xml:space="preserve">3. Cultural Localization</w:t>
      </w:r>
    </w:p>
    <w:p>
      <w:pPr>
        <w:pStyle w:val="FirstParagraph"/>
      </w:pPr>
      <w:r>
        <w:t xml:space="preserve">All marketing materials incorporate:</w:t>
      </w:r>
      <w:r>
        <w:t xml:space="preserve"> </w:t>
      </w:r>
      <w:r>
        <w:t xml:space="preserve">- Bilingual content (Uzbek/English) addressing local context</w:t>
      </w:r>
      <w:r>
        <w:t xml:space="preserve"> </w:t>
      </w:r>
      <w:r>
        <w:t xml:space="preserve">- Case studies from Tashkent schools that implemented successful curriculum changes</w:t>
      </w:r>
      <w:r>
        <w:t xml:space="preserve"> </w:t>
      </w:r>
      <w:r>
        <w:t xml:space="preserve">- Testimonials from current Uzbek educators: "As a Curriculum Developer in Tashkent, I helped modernize 30+ schools' math curricula for AI-ready education"</w:t>
      </w:r>
      <w:r>
        <w:t xml:space="preserve"> </w:t>
      </w:r>
      <w:r>
        <w:t xml:space="preserve">*Critical for success:* 92% of Uzbek applicants prioritize understanding local educational challenges (Uzstat 2023).</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Pre-Launch (Month 1)</w:t>
            </w:r>
          </w:p>
        </w:tc>
        <w:tc>
          <w:tcPr/>
          <w:p>
            <w:pPr>
              <w:pStyle w:val="Compact"/>
              <w:jc w:val="left"/>
            </w:pPr>
            <w:r>
              <w:t xml:space="preserve">Jan-Feb 2024</w:t>
            </w:r>
          </w:p>
        </w:tc>
        <w:tc>
          <w:tcPr/>
          <w:p>
            <w:pPr>
              <w:pStyle w:val="Compact"/>
              <w:jc w:val="left"/>
            </w:pPr>
            <w:r>
              <w:t xml:space="preserve">Cultural assessment, partnership agreements with Ministry of Education, content localization team assembly in Tashkent office</w:t>
            </w:r>
          </w:p>
        </w:tc>
      </w:tr>
      <w:tr>
        <w:tc>
          <w:tcPr/>
          <w:p>
            <w:pPr>
              <w:pStyle w:val="Compact"/>
              <w:jc w:val="left"/>
            </w:pPr>
            <w:r>
              <w:t xml:space="preserve">Launch (Month 2)</w:t>
            </w:r>
          </w:p>
        </w:tc>
        <w:tc>
          <w:tcPr/>
          <w:p>
            <w:pPr>
              <w:pStyle w:val="Compact"/>
              <w:jc w:val="left"/>
            </w:pPr>
            <w:r>
              <w:t xml:space="preserve">Mar-Apr 2024</w:t>
            </w:r>
          </w:p>
        </w:tc>
        <w:tc>
          <w:tcPr/>
          <w:p>
            <w:pPr>
              <w:pStyle w:val="Compact"/>
              <w:jc w:val="left"/>
            </w:pPr>
            <w:r>
              <w:t xml:space="preserve">Digital campaign kickoff, first "Curriculum Innovation Forum" at Tashkent Convention Center, university partnership outreach</w:t>
            </w:r>
          </w:p>
        </w:tc>
      </w:tr>
      <w:tr>
        <w:tc>
          <w:tcPr/>
          <w:p>
            <w:pPr>
              <w:pStyle w:val="Compact"/>
              <w:jc w:val="left"/>
            </w:pPr>
            <w:r>
              <w:t xml:space="preserve">Engagement (Months 3-4)</w:t>
            </w:r>
          </w:p>
        </w:tc>
        <w:tc>
          <w:tcPr/>
          <w:p>
            <w:pPr>
              <w:pStyle w:val="Compact"/>
              <w:jc w:val="left"/>
            </w:pPr>
            <w:r>
              <w:t xml:space="preserve">May-Jun 2024</w:t>
            </w:r>
          </w:p>
        </w:tc>
        <w:tc>
          <w:tcPr/>
          <w:p>
            <w:pPr>
              <w:pStyle w:val="Compact"/>
              <w:jc w:val="left"/>
            </w:pPr>
            <w:r>
              <w:t xml:space="preserve">Resume screening with Tashkent-based HR team, candidate interviews conducted via Zoom (Uzbek time zones), referral program activation</w:t>
            </w:r>
          </w:p>
        </w:tc>
      </w:tr>
      <w:tr>
        <w:tc>
          <w:tcPr/>
          <w:p>
            <w:pPr>
              <w:pStyle w:val="Compact"/>
              <w:jc w:val="left"/>
            </w:pPr>
            <w:r>
              <w:t xml:space="preserve">Closure (Month 5)</w:t>
            </w:r>
          </w:p>
        </w:tc>
        <w:tc>
          <w:tcPr/>
          <w:p>
            <w:pPr>
              <w:pStyle w:val="Compact"/>
              <w:jc w:val="left"/>
            </w:pPr>
            <w:r>
              <w:t xml:space="preserve">Jul 2024</w:t>
            </w:r>
          </w:p>
        </w:tc>
        <w:tc>
          <w:tcPr/>
          <w:p>
            <w:pPr>
              <w:pStyle w:val="Compact"/>
              <w:jc w:val="left"/>
            </w:pPr>
            <w:r>
              <w:t xml:space="preserve">Hiring decision, onboarding package including Tashkent housing stipend and Uzbek language training</w:t>
            </w:r>
          </w:p>
        </w:tc>
      </w:tr>
    </w:tbl>
    <w:bookmarkEnd w:id="27"/>
    <w:bookmarkStart w:id="28" w:name="budget-allocation-total-18500"/>
    <w:p>
      <w:pPr>
        <w:pStyle w:val="Heading2"/>
      </w:pPr>
      <w:r>
        <w:t xml:space="preserve">Budget Allocation (Total: $18,500)</w:t>
      </w:r>
    </w:p>
    <w:p>
      <w:pPr>
        <w:numPr>
          <w:ilvl w:val="0"/>
          <w:numId w:val="1002"/>
        </w:numPr>
        <w:pStyle w:val="Compact"/>
      </w:pPr>
      <w:r>
        <w:t xml:space="preserve">Digital Advertising (35%): $6,475 targeting Tashkent-based professionals on local platforms</w:t>
      </w:r>
    </w:p>
    <w:p>
      <w:pPr>
        <w:numPr>
          <w:ilvl w:val="0"/>
          <w:numId w:val="1002"/>
        </w:numPr>
        <w:pStyle w:val="Compact"/>
      </w:pPr>
      <w:r>
        <w:t xml:space="preserve">Partnership Events (30%): $5,550 for 2 Ministry-organized forums in Tashkent</w:t>
      </w:r>
    </w:p>
    <w:p>
      <w:pPr>
        <w:numPr>
          <w:ilvl w:val="0"/>
          <w:numId w:val="1002"/>
        </w:numPr>
        <w:pStyle w:val="Compact"/>
      </w:pPr>
      <w:r>
        <w:t xml:space="preserve">Cultural Content Development (20%): $3,700 for bilingual materials and case studies</w:t>
      </w:r>
    </w:p>
    <w:p>
      <w:pPr>
        <w:numPr>
          <w:ilvl w:val="0"/>
          <w:numId w:val="1002"/>
        </w:numPr>
        <w:pStyle w:val="Compact"/>
      </w:pPr>
      <w:r>
        <w:t xml:space="preserve">Referral Program (15%): $2,775 incentivizing university faculty referrals</w:t>
      </w:r>
    </w:p>
    <w:bookmarkEnd w:id="28"/>
    <w:bookmarkStart w:id="29" w:name="success-metrics-kpis"/>
    <w:p>
      <w:pPr>
        <w:pStyle w:val="Heading2"/>
      </w:pPr>
      <w:r>
        <w:t xml:space="preserve">Success Metrics &amp; KPIs</w:t>
      </w:r>
    </w:p>
    <w:p>
      <w:pPr>
        <w:pStyle w:val="FirstParagraph"/>
      </w:pPr>
      <w:r>
        <w:t xml:space="preserve">We measure success through Tashkent-specific metrics:</w:t>
      </w:r>
    </w:p>
    <w:p>
      <w:pPr>
        <w:numPr>
          <w:ilvl w:val="0"/>
          <w:numId w:val="1003"/>
        </w:numPr>
        <w:pStyle w:val="Compact"/>
      </w:pPr>
      <w:r>
        <w:rPr>
          <w:bCs/>
          <w:b/>
        </w:rPr>
        <w:t xml:space="preserve">Quality of Hire:</w:t>
      </w:r>
      <w:r>
        <w:t xml:space="preserve"> </w:t>
      </w:r>
      <w:r>
        <w:t xml:space="preserve">85% candidate proficiency in Uzbek education standards (evaluated via Tashkent-based assessment)</w:t>
      </w:r>
    </w:p>
    <w:p>
      <w:pPr>
        <w:numPr>
          <w:ilvl w:val="0"/>
          <w:numId w:val="1003"/>
        </w:numPr>
        <w:pStyle w:val="Compact"/>
      </w:pPr>
      <w:r>
        <w:rPr>
          <w:bCs/>
          <w:b/>
        </w:rPr>
        <w:t xml:space="preserve">Time-to-Fill:</w:t>
      </w:r>
      <w:r>
        <w:t xml:space="preserve"> </w:t>
      </w:r>
      <w:r>
        <w:t xml:space="preserve">Reduced from 90 to 45 days through localized recruitment</w:t>
      </w:r>
    </w:p>
    <w:p>
      <w:pPr>
        <w:numPr>
          <w:ilvl w:val="0"/>
          <w:numId w:val="1003"/>
        </w:numPr>
        <w:pStyle w:val="Compact"/>
      </w:pPr>
      <w:r>
        <w:rPr>
          <w:bCs/>
          <w:b/>
        </w:rPr>
        <w:t xml:space="preserve">Tashkent Market Penetration:</w:t>
      </w:r>
      <w:r>
        <w:t xml:space="preserve"> </w:t>
      </w:r>
      <w:r>
        <w:t xml:space="preserve">60% of applicants from within Tashkent or immediate Uzbekistan regions</w:t>
      </w:r>
    </w:p>
    <w:p>
      <w:pPr>
        <w:numPr>
          <w:ilvl w:val="0"/>
          <w:numId w:val="1003"/>
        </w:numPr>
        <w:pStyle w:val="Compact"/>
      </w:pPr>
      <w:r>
        <w:rPr>
          <w:bCs/>
          <w:b/>
        </w:rPr>
        <w:t xml:space="preserve">Institutional Impact:</w:t>
      </w:r>
      <w:r>
        <w:t xml:space="preserve"> </w:t>
      </w:r>
      <w:r>
        <w:t xml:space="preserve">Curriculum Developer's work directly implemented in 10+ Tashkent schools by Year 1</w:t>
      </w:r>
    </w:p>
    <w:bookmarkEnd w:id="29"/>
    <w:bookmarkStart w:id="30" w:name="X1fdacfee5c24a2185886b24c0e10d67aa39c8e9"/>
    <w:p>
      <w:pPr>
        <w:pStyle w:val="Heading2"/>
      </w:pPr>
      <w:r>
        <w:t xml:space="preserve">Why This Plan Succeeds in Uzbekistan Tashkent Context</w:t>
      </w:r>
    </w:p>
    <w:p>
      <w:pPr>
        <w:pStyle w:val="FirstParagraph"/>
      </w:pPr>
      <w:r>
        <w:t xml:space="preserve">This Marketing Plan fundamentally addresses Uzbekistan's unique educational landscape. Unlike generic recruitment approaches, we've embedded local knowledge: understanding that a Curriculum Developer in Tashkent must navigate both national education policy and regional cultural nuances. Our strategy leverages Tashkent's status as Uzbekistan's educational capital—where 65% of all national curriculum innovation pilots occur (Ministry of Education Data). By centering recruitment on Tashkent institutions' specific needs, we attract candidates who immediately contribute to Uzbekistan's education transformation mission.</w:t>
      </w:r>
    </w:p>
    <w:bookmarkEnd w:id="30"/>
    <w:bookmarkStart w:id="31" w:name="conclusion"/>
    <w:p>
      <w:pPr>
        <w:pStyle w:val="Heading2"/>
      </w:pPr>
      <w:r>
        <w:t xml:space="preserve">Conclusion</w:t>
      </w:r>
    </w:p>
    <w:p>
      <w:pPr>
        <w:pStyle w:val="FirstParagraph"/>
      </w:pPr>
      <w:r>
        <w:t xml:space="preserve">This Marketing Plan delivers a targeted strategy to secure a transformative Curriculum Developer for Tashkent. It recognizes that in Uzbekistan Tashkent, education talent must be both globally competent and locally grounded. By implementing this plan, we position our institution at the forefront of Uzbekistan's education revolution—ensuring every hired Curriculum Developer becomes an agent of change in our nation's classrooms. The result: accelerated curriculum modernization across Tashkent that aligns with national goals while preparing Uzbekistan's youth for global competitiveness.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Tashkent, Uzbekistan</dc:title>
  <dc:creator/>
  <dc:language>en</dc:language>
  <cp:keywords/>
  <dcterms:created xsi:type="dcterms:W3CDTF">2026-07-21T11:48:01Z</dcterms:created>
  <dcterms:modified xsi:type="dcterms:W3CDTF">2026-07-21T11:48:01Z</dcterms:modified>
</cp:coreProperties>
</file>

<file path=docProps/custom.xml><?xml version="1.0" encoding="utf-8"?>
<Properties xmlns="http://schemas.openxmlformats.org/officeDocument/2006/custom-properties" xmlns:vt="http://schemas.openxmlformats.org/officeDocument/2006/docPropsVTypes"/>
</file>