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Tokyo,</w:t>
      </w:r>
      <w:r>
        <w:t xml:space="preserve"> </w:t>
      </w:r>
      <w:r>
        <w:t xml:space="preserve">Japan</w:t>
      </w:r>
    </w:p>
    <w:bookmarkStart w:id="31" w:name="X003d7bd33c454bcc52c2705ef8338727650385b"/>
    <w:p>
      <w:pPr>
        <w:pStyle w:val="Heading1"/>
      </w:pPr>
      <w:r>
        <w:t xml:space="preserve">Strategic Marketing Plan for Attracting and Retaining Top Data Scientists in Tokyo, Japan</w:t>
      </w:r>
    </w:p>
    <w:bookmarkStart w:id="20" w:name="executive-summary"/>
    <w:p>
      <w:pPr>
        <w:pStyle w:val="Heading2"/>
      </w:pPr>
      <w:r>
        <w:t xml:space="preserve">Executive Summary</w:t>
      </w:r>
    </w:p>
    <w:p>
      <w:pPr>
        <w:pStyle w:val="FirstParagraph"/>
      </w:pPr>
      <w:r>
        <w:t xml:space="preserve">This comprehensive marketing plan outlines a targeted strategy to position Tokyo as the premier destination for elite Data Scientists in Japan. With Tokyo housing over 60% of Japan's technology firms and driving the nation's AI adoption under initiatives like Society 5.0, securing world-class Data Scientists is critical for innovation leadership. This plan addresses Tokyo-specific talent acquisition challenges while aligning with Japan’s digital transformation goals, ensuring our organization becomes the employer of choice for Data Scientists seeking impactful careers in one of Asia’s most dynamic tech ecosystems.</w:t>
      </w:r>
    </w:p>
    <w:bookmarkEnd w:id="20"/>
    <w:bookmarkStart w:id="21" w:name="X4f73ab75d07e83e19e149b002ec84c96e4b9f30"/>
    <w:p>
      <w:pPr>
        <w:pStyle w:val="Heading2"/>
      </w:pPr>
      <w:r>
        <w:t xml:space="preserve">Market Analysis: The Tokyo Data Science Landscape</w:t>
      </w:r>
    </w:p>
    <w:p>
      <w:pPr>
        <w:pStyle w:val="FirstParagraph"/>
      </w:pPr>
      <w:r>
        <w:t xml:space="preserve">Japan faces a severe shortage of skilled Data Scientists, with an estimated 1.5 million vacant AI-related roles by 2030 (MEXT, 2023). Tokyo’s market is particularly acute due to:</w:t>
      </w:r>
    </w:p>
    <w:p>
      <w:pPr>
        <w:numPr>
          <w:ilvl w:val="0"/>
          <w:numId w:val="1001"/>
        </w:numPr>
        <w:pStyle w:val="Compact"/>
      </w:pPr>
      <w:r>
        <w:rPr>
          <w:bCs/>
          <w:b/>
        </w:rPr>
        <w:t xml:space="preserve">High Demand:</w:t>
      </w:r>
      <w:r>
        <w:t xml:space="preserve"> </w:t>
      </w:r>
      <w:r>
        <w:t xml:space="preserve">Automotive giants (Toyota, Honda), financial institutions (Mitsubishi UFJ), and tech leaders (SoftBank) actively compete for Data Scientists in Tokyo.</w:t>
      </w:r>
    </w:p>
    <w:p>
      <w:pPr>
        <w:numPr>
          <w:ilvl w:val="0"/>
          <w:numId w:val="1001"/>
        </w:numPr>
        <w:pStyle w:val="Compact"/>
      </w:pPr>
      <w:r>
        <w:rPr>
          <w:bCs/>
          <w:b/>
        </w:rPr>
        <w:t xml:space="preserve">Talent Gap:</w:t>
      </w:r>
      <w:r>
        <w:t xml:space="preserve"> </w:t>
      </w:r>
      <w:r>
        <w:t xml:space="preserve">Only 12% of Japanese universities offer specialized data science curricula, creating a supply-demand imbalance.</w:t>
      </w:r>
    </w:p>
    <w:p>
      <w:pPr>
        <w:numPr>
          <w:ilvl w:val="0"/>
          <w:numId w:val="1001"/>
        </w:numPr>
        <w:pStyle w:val="Compact"/>
      </w:pPr>
      <w:r>
        <w:rPr>
          <w:bCs/>
          <w:b/>
        </w:rPr>
        <w:t xml:space="preserve">Cultural Nuances:</w:t>
      </w:r>
      <w:r>
        <w:t xml:space="preserve"> </w:t>
      </w:r>
      <w:r>
        <w:t xml:space="preserve">Japanese professionals prioritize work-life harmony (e.g., "karoshi" prevention), corporate stability, and clear career paths over Silicon Valley-style disruption.</w:t>
      </w:r>
    </w:p>
    <w:p>
      <w:pPr>
        <w:pStyle w:val="FirstParagraph"/>
      </w:pPr>
      <w:r>
        <w:t xml:space="preserve">This plan leverages Tokyo’s status as Asia’s AI capital to attract global talent while addressing local expectations through culturally resonant messaging.</w:t>
      </w:r>
    </w:p>
    <w:bookmarkEnd w:id="21"/>
    <w:bookmarkStart w:id="22" w:name="X037b17ecd9738a4109bcf1e21c33e68fab13429"/>
    <w:p>
      <w:pPr>
        <w:pStyle w:val="Heading2"/>
      </w:pPr>
      <w:r>
        <w:t xml:space="preserve">Target Audience: The Modern Data Scientist in Tokyo</w:t>
      </w:r>
    </w:p>
    <w:p>
      <w:pPr>
        <w:pStyle w:val="FirstParagraph"/>
      </w:pPr>
      <w:r>
        <w:t xml:space="preserve">We target two key segments:</w:t>
      </w:r>
    </w:p>
    <w:p>
      <w:pPr>
        <w:numPr>
          <w:ilvl w:val="0"/>
          <w:numId w:val="1002"/>
        </w:numPr>
        <w:pStyle w:val="Compact"/>
      </w:pPr>
      <w:r>
        <w:rPr>
          <w:bCs/>
          <w:b/>
        </w:rPr>
        <w:t xml:space="preserve">Domestic Talent (Japanese Citizens):</w:t>
      </w:r>
      <w:r>
        <w:t xml:space="preserve"> </w:t>
      </w:r>
      <w:r>
        <w:t xml:space="preserve">3–5 years of experience, seeking roles with career progression, work-life balance, and impact on Japan’s digital future. They value company stability and social contribution.</w:t>
      </w:r>
    </w:p>
    <w:p>
      <w:pPr>
        <w:numPr>
          <w:ilvl w:val="0"/>
          <w:numId w:val="1002"/>
        </w:numPr>
        <w:pStyle w:val="Compact"/>
      </w:pPr>
      <w:r>
        <w:rPr>
          <w:bCs/>
          <w:b/>
        </w:rPr>
        <w:t xml:space="preserve">International Talent:</w:t>
      </w:r>
      <w:r>
        <w:t xml:space="preserve"> </w:t>
      </w:r>
      <w:r>
        <w:t xml:space="preserve">Global Data Scientists with Japanese language skills or relocation interest. Prioritize competitive compensation (¥15M+ for senior roles), visa support, and community integration in Tokyo.</w:t>
      </w:r>
    </w:p>
    <w:p>
      <w:pPr>
        <w:pStyle w:val="FirstParagraph"/>
      </w:pPr>
      <w:r>
        <w:t xml:space="preserve">Critically, all candidates prioritize projects with tangible societal impact—aligned with Tokyo’s focus on "Society 5.0" (smart cities, healthcare AI).</w:t>
      </w:r>
    </w:p>
    <w:bookmarkEnd w:id="22"/>
    <w:bookmarkStart w:id="26" w:name="Xe6e63cdadebe740e37fbcdc7493a08dbbd1795c"/>
    <w:p>
      <w:pPr>
        <w:pStyle w:val="Heading2"/>
      </w:pPr>
      <w:r>
        <w:t xml:space="preserve">Core Marketing Strategy: Positioning as Tokyo's Data Science Hub</w:t>
      </w:r>
    </w:p>
    <w:p>
      <w:pPr>
        <w:pStyle w:val="FirstParagraph"/>
      </w:pPr>
      <w:r>
        <w:t xml:space="preserve">We position our organization not merely as an employer but as the catalyst for Data Scientists' professional and societal impact in Tokyo. Three pillars drive this:</w:t>
      </w:r>
    </w:p>
    <w:bookmarkStart w:id="23" w:name="impact-first-employer-branding"/>
    <w:p>
      <w:pPr>
        <w:pStyle w:val="Heading3"/>
      </w:pPr>
      <w:r>
        <w:t xml:space="preserve">1. "Impact-First" Employer Branding</w:t>
      </w:r>
    </w:p>
    <w:p>
      <w:pPr>
        <w:pStyle w:val="FirstParagraph"/>
      </w:pPr>
      <w:r>
        <w:t xml:space="preserve">Highlight real-world projects:</w:t>
      </w:r>
      <w:r>
        <w:t xml:space="preserve"> </w:t>
      </w:r>
      <w:r>
        <w:t xml:space="preserve">→ AI-driven traffic optimization for Tokyo Metro (reducing commute times by 18%)</w:t>
      </w:r>
      <w:r>
        <w:t xml:space="preserve"> </w:t>
      </w:r>
      <w:r>
        <w:t xml:space="preserve">→ Predictive healthcare models for Tokyo Metropolitan Government hospitals</w:t>
      </w:r>
      <w:r>
        <w:t xml:space="preserve"> </w:t>
      </w:r>
      <w:r>
        <w:t xml:space="preserve">This resonates with Japanese values of societal contribution. All recruitment materials feature testimonials from current Data Scientists in Tokyo, emphasizing "how my work directly improves life in the city."</w:t>
      </w:r>
    </w:p>
    <w:bookmarkEnd w:id="23"/>
    <w:bookmarkStart w:id="24" w:name="hyper-localized-talent-acquisition"/>
    <w:p>
      <w:pPr>
        <w:pStyle w:val="Heading3"/>
      </w:pPr>
      <w:r>
        <w:t xml:space="preserve">2. Hyper-Localized Talent Acquisition</w:t>
      </w:r>
    </w:p>
    <w:p>
      <w:pPr>
        <w:pStyle w:val="FirstParagraph"/>
      </w:pPr>
      <w:r>
        <w:t xml:space="preserve">Tokyo-specific tactics:</w:t>
      </w:r>
      <w:r>
        <w:t xml:space="preserve"> </w:t>
      </w:r>
      <w:r>
        <w:t xml:space="preserve">→ Partner with Tokyo University (Todai) and Keio for campus recruitment events featuring AI case studies on Tokyo challenges.</w:t>
      </w:r>
      <w:r>
        <w:t xml:space="preserve"> </w:t>
      </w:r>
      <w:r>
        <w:t xml:space="preserve">→ Sponsor Japan Data Science Conference (JDSC) in Shinjuku, hosting exclusive "Tokyo Impact" workshops.</w:t>
      </w:r>
      <w:r>
        <w:t xml:space="preserve"> </w:t>
      </w:r>
      <w:r>
        <w:t xml:space="preserve">→ Leverage LinkedIn Japan’s "Job Seekers in Tokyo" analytics to target professionals with interest in smart city tech.</w:t>
      </w:r>
    </w:p>
    <w:bookmarkEnd w:id="24"/>
    <w:bookmarkStart w:id="25" w:name="cultural-integration-program"/>
    <w:p>
      <w:pPr>
        <w:pStyle w:val="Heading3"/>
      </w:pPr>
      <w:r>
        <w:t xml:space="preserve">3. Cultural Integration Program</w:t>
      </w:r>
    </w:p>
    <w:p>
      <w:pPr>
        <w:pStyle w:val="FirstParagraph"/>
      </w:pPr>
      <w:r>
        <w:t xml:space="preserve">Overcoming international talent barriers:</w:t>
      </w:r>
      <w:r>
        <w:t xml:space="preserve"> </w:t>
      </w:r>
      <w:r>
        <w:t xml:space="preserve">→ Free Japanese language classes (focused on technical vocabulary) for non-Japanese speakers.</w:t>
      </w:r>
      <w:r>
        <w:t xml:space="preserve"> </w:t>
      </w:r>
      <w:r>
        <w:t xml:space="preserve">→ "Tokyo Immersion Days" pairing new hires with local Data Scientists for neighborhood explorations (e.g., Shibuya AI startup hubs).</w:t>
      </w:r>
      <w:r>
        <w:t xml:space="preserve"> </w:t>
      </w:r>
      <w:r>
        <w:t xml:space="preserve">→ Monthly social events at iconic Tokyo venues (e.g., rooftop dinners at Roppongi Hills), reinforcing community.</w:t>
      </w:r>
    </w:p>
    <w:bookmarkEnd w:id="25"/>
    <w:bookmarkEnd w:id="26"/>
    <w:bookmarkStart w:id="27" w:name="X201df1bfd0169b291f3348a2999c0c658716e8e"/>
    <w:p>
      <w:pPr>
        <w:pStyle w:val="Heading2"/>
      </w:pPr>
      <w:r>
        <w:t xml:space="preserve">Implementation Timeline: Tokyo-Centric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Tokyo-Specific Focus</w:t>
            </w:r>
          </w:p>
        </w:tc>
      </w:tr>
      <w:tr>
        <w:tc>
          <w:tcPr/>
          <w:p>
            <w:pPr>
              <w:pStyle w:val="Compact"/>
              <w:jc w:val="left"/>
            </w:pPr>
            <w:r>
              <w:t xml:space="preserve">Q1 2024</w:t>
            </w:r>
          </w:p>
        </w:tc>
        <w:tc>
          <w:tcPr/>
          <w:p>
            <w:pPr>
              <w:pStyle w:val="Compact"/>
              <w:jc w:val="left"/>
            </w:pPr>
            <w:r>
              <w:t xml:space="preserve">Launch employer branding campaign: "Build Tokyo’s Future with Data"</w:t>
            </w:r>
          </w:p>
        </w:tc>
        <w:tc>
          <w:tcPr/>
          <w:p>
            <w:pPr>
              <w:pStyle w:val="Compact"/>
              <w:jc w:val="left"/>
            </w:pPr>
            <w:r>
              <w:t xml:space="preserve">Collaborate with Tokyo Tourism Board for "Data Scientist in Tokyo" content series (e.g., "A Day in Shibuya: How Data Solves Urban Challenges").</w:t>
            </w:r>
          </w:p>
        </w:tc>
      </w:tr>
      <w:tr>
        <w:tc>
          <w:tcPr/>
          <w:p>
            <w:pPr>
              <w:pStyle w:val="Compact"/>
              <w:jc w:val="left"/>
            </w:pPr>
            <w:r>
              <w:t xml:space="preserve">Q2 2024</w:t>
            </w:r>
          </w:p>
        </w:tc>
        <w:tc>
          <w:tcPr/>
          <w:p>
            <w:pPr>
              <w:pStyle w:val="Compact"/>
              <w:jc w:val="left"/>
            </w:pPr>
            <w:r>
              <w:t xml:space="preserve">Deploy JDSC sponsorship; host hackathon at Tokyo Big Sight.</w:t>
            </w:r>
          </w:p>
        </w:tc>
        <w:tc>
          <w:tcPr/>
          <w:p>
            <w:pPr>
              <w:pStyle w:val="Compact"/>
              <w:jc w:val="left"/>
            </w:pPr>
            <w:r>
              <w:t xml:space="preserve">Theme: "AI for Tokyo’s Future" (e.g., optimizing waste management in Sumida Ward).</w:t>
            </w:r>
          </w:p>
        </w:tc>
      </w:tr>
      <w:tr>
        <w:tc>
          <w:tcPr/>
          <w:p>
            <w:pPr>
              <w:pStyle w:val="Compact"/>
              <w:jc w:val="left"/>
            </w:pPr>
            <w:r>
              <w:t xml:space="preserve">Q3 2024</w:t>
            </w:r>
          </w:p>
        </w:tc>
        <w:tc>
          <w:tcPr/>
          <w:p>
            <w:pPr>
              <w:pStyle w:val="Compact"/>
              <w:jc w:val="left"/>
            </w:pPr>
            <w:r>
              <w:t xml:space="preserve">Roll out Japanese language support for international hires.</w:t>
            </w:r>
          </w:p>
        </w:tc>
        <w:tc>
          <w:tcPr/>
          <w:p>
            <w:pPr>
              <w:pStyle w:val="Compact"/>
              <w:jc w:val="left"/>
            </w:pPr>
            <w:r>
              <w:t xml:space="preserve">Partner with JET Programme for cultural liaison officers in Tokyo office.</w:t>
            </w:r>
          </w:p>
        </w:tc>
      </w:tr>
    </w:tbl>
    <w:p>
      <w:pPr>
        <w:pStyle w:val="BodyText"/>
      </w:pPr>
      <w:r>
        <w:t xml:space="preserve">This timeline ensures consistent engagement throughout Tokyo’s key professional events (e.g., during Japan’s "Tech Week" in April).</w:t>
      </w:r>
    </w:p>
    <w:bookmarkEnd w:id="27"/>
    <w:bookmarkStart w:id="28" w:name="key-performance-indicators-kpis"/>
    <w:p>
      <w:pPr>
        <w:pStyle w:val="Heading2"/>
      </w:pPr>
      <w:r>
        <w:t xml:space="preserve">Key Performance Indicators (KPIs)</w:t>
      </w:r>
    </w:p>
    <w:p>
      <w:pPr>
        <w:pStyle w:val="FirstParagraph"/>
      </w:pPr>
      <w:r>
        <w:t xml:space="preserve">We measure success through Tokyo-specific metrics:</w:t>
      </w:r>
    </w:p>
    <w:p>
      <w:pPr>
        <w:numPr>
          <w:ilvl w:val="0"/>
          <w:numId w:val="1003"/>
        </w:numPr>
        <w:pStyle w:val="Compact"/>
      </w:pPr>
      <w:r>
        <w:rPr>
          <w:bCs/>
          <w:b/>
        </w:rPr>
        <w:t xml:space="preserve">Talent Acquisition:</w:t>
      </w:r>
      <w:r>
        <w:t xml:space="preserve"> </w:t>
      </w:r>
      <w:r>
        <w:t xml:space="preserve">40% reduction in time-to-hire for Data Scientist roles vs. industry average (current: 11 weeks).</w:t>
      </w:r>
    </w:p>
    <w:p>
      <w:pPr>
        <w:numPr>
          <w:ilvl w:val="0"/>
          <w:numId w:val="1003"/>
        </w:numPr>
        <w:pStyle w:val="Compact"/>
      </w:pPr>
      <w:r>
        <w:rPr>
          <w:bCs/>
          <w:b/>
        </w:rPr>
        <w:t xml:space="preserve">Retention:</w:t>
      </w:r>
      <w:r>
        <w:t xml:space="preserve"> </w:t>
      </w:r>
      <w:r>
        <w:t xml:space="preserve">90%+ retention rate after Year 1 (vs. Tokyo industry avg: 75%).</w:t>
      </w:r>
    </w:p>
    <w:p>
      <w:pPr>
        <w:numPr>
          <w:ilvl w:val="0"/>
          <w:numId w:val="1003"/>
        </w:numPr>
        <w:pStyle w:val="Compact"/>
      </w:pPr>
      <w:r>
        <w:rPr>
          <w:bCs/>
          <w:b/>
        </w:rPr>
        <w:t xml:space="preserve">Brand Awareness:</w:t>
      </w:r>
      <w:r>
        <w:t xml:space="preserve"> </w:t>
      </w:r>
      <w:r>
        <w:t xml:space="preserve">Increase in "Data Scientist Jobs in Tokyo" LinkedIn searches from our company by 250% within 12 months.</w:t>
      </w:r>
    </w:p>
    <w:p>
      <w:pPr>
        <w:numPr>
          <w:ilvl w:val="0"/>
          <w:numId w:val="1003"/>
        </w:numPr>
        <w:pStyle w:val="Compact"/>
      </w:pPr>
      <w:r>
        <w:rPr>
          <w:bCs/>
          <w:b/>
        </w:rPr>
        <w:t xml:space="preserve">Social Impact:</w:t>
      </w:r>
      <w:r>
        <w:t xml:space="preserve"> </w:t>
      </w:r>
      <w:r>
        <w:t xml:space="preserve">3+ projects launched annually with Tokyo government, directly cited in recruitment materials.</w:t>
      </w:r>
    </w:p>
    <w:bookmarkEnd w:id="28"/>
    <w:bookmarkStart w:id="29" w:name="budget-allocation"/>
    <w:p>
      <w:pPr>
        <w:pStyle w:val="Heading2"/>
      </w:pPr>
      <w:r>
        <w:t xml:space="preserve">Budget Allocation</w:t>
      </w:r>
    </w:p>
    <w:p>
      <w:pPr>
        <w:pStyle w:val="FirstParagraph"/>
      </w:pPr>
      <w:r>
        <w:t xml:space="preserve">50% allocated to Tokyo-specific channels:</w:t>
      </w:r>
      <w:r>
        <w:t xml:space="preserve"> </w:t>
      </w:r>
      <w:r>
        <w:t xml:space="preserve">→ 25% for JDSC/Society 5.0 event sponsorships in Tokyo</w:t>
      </w:r>
      <w:r>
        <w:t xml:space="preserve"> </w:t>
      </w:r>
      <w:r>
        <w:t xml:space="preserve">→ 30% for localized content (e.g., Japanese-language case studies filmed at Tokyo landmarks)</w:t>
      </w:r>
      <w:r>
        <w:t xml:space="preserve"> </w:t>
      </w:r>
      <w:r>
        <w:t xml:space="preserve">→ 15% for cultural integration programs (language classes, social events)</w:t>
      </w:r>
      <w:r>
        <w:t xml:space="preserve"> </w:t>
      </w:r>
      <w:r>
        <w:t xml:space="preserve">This ensures every marketing dollar amplifies our presence within the Tokyo ecosystem.</w:t>
      </w:r>
    </w:p>
    <w:bookmarkEnd w:id="29"/>
    <w:bookmarkStart w:id="30" w:name="why-this-plan-works-in-tokyo"/>
    <w:p>
      <w:pPr>
        <w:pStyle w:val="Heading2"/>
      </w:pPr>
      <w:r>
        <w:t xml:space="preserve">Why This Plan Works in Tokyo</w:t>
      </w:r>
    </w:p>
    <w:p>
      <w:pPr>
        <w:pStyle w:val="FirstParagraph"/>
      </w:pPr>
      <w:r>
        <w:t xml:space="preserve">This strategy transcends generic recruitment by embedding the Data Scientist role into Tokyo’s identity. We don’t just attract talent—we position our organization as a bridge between global data science excellence and Japan’s unique societal needs. By emphasizing how a Data Scientist’s work directly shapes life in Tokyo (from reducing congestion in Shinjuku to improving elderly care in Setagaya), we tap into the deep cultural value of contributing to community—the core motivation for Japanese professionals.</w:t>
      </w:r>
    </w:p>
    <w:p>
      <w:pPr>
        <w:pStyle w:val="BodyText"/>
      </w:pPr>
      <w:r>
        <w:t xml:space="preserve">Ultimately, this Marketing Plan transforms the Data Scientist role from a technical position into a symbol of purposeful innovation within Japan’s most vibrant city. For Tokyo-based Data Scientists, choosing our organization means becoming part of the solution for one of the world’s most sophisticated urban ecosystems—making it not just a job, but a legacy.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Tokyo, Japan</dc:title>
  <dc:creator/>
  <dc:language>en</dc:language>
  <cp:keywords/>
  <dcterms:created xsi:type="dcterms:W3CDTF">2026-07-23T01:01:21Z</dcterms:created>
  <dcterms:modified xsi:type="dcterms:W3CDTF">2026-07-23T01:01:21Z</dcterms:modified>
</cp:coreProperties>
</file>

<file path=docProps/custom.xml><?xml version="1.0" encoding="utf-8"?>
<Properties xmlns="http://schemas.openxmlformats.org/officeDocument/2006/custom-properties" xmlns:vt="http://schemas.openxmlformats.org/officeDocument/2006/docPropsVTypes"/>
</file>