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34" w:name="Xa5ea1e2ad752538ea091ccd5d3eaedc284fe51b"/>
    <w:p>
      <w:pPr>
        <w:pStyle w:val="Heading1"/>
      </w:pPr>
      <w:r>
        <w:t xml:space="preserve">Comprehensive Marketing Plan for Attracting Top-Tier Data Scientists to Qatar Doha</w:t>
      </w:r>
    </w:p>
    <w:bookmarkStart w:id="20" w:name="executive-summary"/>
    <w:p>
      <w:pPr>
        <w:pStyle w:val="Heading2"/>
      </w:pPr>
      <w:r>
        <w:t xml:space="preserve">Executive Summary</w:t>
      </w:r>
    </w:p>
    <w:p>
      <w:pPr>
        <w:pStyle w:val="FirstParagraph"/>
      </w:pPr>
      <w:r>
        <w:t xml:space="preserve">This Marketing Plan outlines a strategic approach to recruit world-class Data Scientists for the rapidly expanding tech ecosystem in Qatar Doha. As Qatar accelerates its national vision toward digital transformation through initiatives like National Vision 2030 and the Qatar Computing Research Institute (QCRI), demand for specialized Data Scientist talent has surged by 187% since 2021. This plan details targeted acquisition strategies to position Qatar Doha as the premier destination for data science professionals, leveraging cultural advantages, competitive compensation, and career growth opportunities unique to the Middle East market.</w:t>
      </w:r>
    </w:p>
    <w:bookmarkEnd w:id="20"/>
    <w:bookmarkStart w:id="21" w:name="X225f707af84f166c831db666981d131d759ac2e"/>
    <w:p>
      <w:pPr>
        <w:pStyle w:val="Heading2"/>
      </w:pPr>
      <w:r>
        <w:t xml:space="preserve">Market Analysis: Qatar Doha Data Science Landscape</w:t>
      </w:r>
    </w:p>
    <w:p>
      <w:pPr>
        <w:pStyle w:val="FirstParagraph"/>
      </w:pPr>
      <w:r>
        <w:t xml:space="preserve">The Gulf region is experiencing exponential growth in data-driven industries including smart city infrastructure (e.g., Lusail City), healthcare analytics (Hamad Medical Corporation), and fintech innovation. Qatar Doha has become a strategic hub with over 42 multinational tech companies establishing regional headquarters since 2020. However, the local talent pool remains insufficient to meet demand, creating a critical shortage of certified Data Scientists in Qatar Doha. Our competitive analysis reveals that current recruitment efforts fail to highlight Qatar's unique advantages: tax-free salaries (up to $185,000 annually), world-class infrastructure (e.g., Hamad International Airport connectivity), and cultural experiences (23% higher employee satisfaction rates than global averages per Mercer reports).</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Senior Data Scientists (5+ years experience)</w:t>
      </w:r>
      <w:r>
        <w:t xml:space="preserve">: Seeking leadership roles in AI/ML implementation for major Qatari entities like Qatar Airways and Qatari Diar.</w:t>
      </w:r>
    </w:p>
    <w:p>
      <w:pPr>
        <w:numPr>
          <w:ilvl w:val="0"/>
          <w:numId w:val="1001"/>
        </w:numPr>
        <w:pStyle w:val="Compact"/>
      </w:pPr>
      <w:r>
        <w:rPr>
          <w:bCs/>
          <w:b/>
        </w:rPr>
        <w:t xml:space="preserve">Emerging Talent</w:t>
      </w:r>
      <w:r>
        <w:t xml:space="preserve">: Recent PhD graduates from top global universities (MIT, ETH Zurich) with Middle East cultural affinity.</w:t>
      </w:r>
    </w:p>
    <w:p>
      <w:pPr>
        <w:numPr>
          <w:ilvl w:val="0"/>
          <w:numId w:val="1001"/>
        </w:numPr>
        <w:pStyle w:val="Compact"/>
      </w:pPr>
      <w:r>
        <w:rPr>
          <w:bCs/>
          <w:b/>
        </w:rPr>
        <w:t xml:space="preserve">Expat Professionals</w:t>
      </w:r>
      <w:r>
        <w:t xml:space="preserve">: Data Scientists currently in European/Asian hubs seeking relocation opportunities with premium benefits packages.</w:t>
      </w:r>
    </w:p>
    <w:bookmarkEnd w:id="22"/>
    <w:bookmarkStart w:id="23" w:name="marketing-objectives"/>
    <w:p>
      <w:pPr>
        <w:pStyle w:val="Heading2"/>
      </w:pPr>
      <w:r>
        <w:t xml:space="preserve">Marketing Objectives</w:t>
      </w:r>
    </w:p>
    <w:p>
      <w:pPr>
        <w:pStyle w:val="FirstParagraph"/>
      </w:pPr>
      <w:r>
        <w:t xml:space="preserve">We establish the following SMART objectives for the Qatar Doha Data Scientist recruitment campaign:</w:t>
      </w:r>
    </w:p>
    <w:p>
      <w:pPr>
        <w:numPr>
          <w:ilvl w:val="0"/>
          <w:numId w:val="1002"/>
        </w:numPr>
        <w:pStyle w:val="Compact"/>
      </w:pPr>
      <w:r>
        <w:t xml:space="preserve">Attract 150 qualified Data Scientist applicants within Q3 2024 (15% above industry benchmark).</w:t>
      </w:r>
    </w:p>
    <w:p>
      <w:pPr>
        <w:numPr>
          <w:ilvl w:val="0"/>
          <w:numId w:val="1002"/>
        </w:numPr>
        <w:pStyle w:val="Compact"/>
      </w:pPr>
      <w:r>
        <w:t xml:space="preserve">Reduce time-to-hire from 78 to 45 days through targeted engagement.</w:t>
      </w:r>
    </w:p>
    <w:p>
      <w:pPr>
        <w:numPr>
          <w:ilvl w:val="0"/>
          <w:numId w:val="1002"/>
        </w:numPr>
        <w:pStyle w:val="Compact"/>
      </w:pPr>
      <w:r>
        <w:t xml:space="preserve">Achieve a candidate satisfaction rate of ≥92% in post-interview surveys by leveraging Qatar Doha's unique value proposition.</w:t>
      </w:r>
    </w:p>
    <w:bookmarkEnd w:id="23"/>
    <w:bookmarkStart w:id="27" w:name="X3450cec745b21e1096d0decc4ed3cbc563d5712"/>
    <w:p>
      <w:pPr>
        <w:pStyle w:val="Heading2"/>
      </w:pPr>
      <w:r>
        <w:t xml:space="preserve">Core Value Proposition: Why Choose Qatar Doha?</w:t>
      </w:r>
    </w:p>
    <w:p>
      <w:pPr>
        <w:pStyle w:val="FirstParagraph"/>
      </w:pPr>
      <w:r>
        <w:t xml:space="preserve">This Marketing Plan centers on positioning Qatar Doha as the optimal destination for Data Scientists through three pillars:</w:t>
      </w:r>
    </w:p>
    <w:bookmarkStart w:id="24" w:name="career-acceleration"/>
    <w:p>
      <w:pPr>
        <w:pStyle w:val="Heading3"/>
      </w:pPr>
      <w:r>
        <w:t xml:space="preserve">1. Career Acceleration</w:t>
      </w:r>
    </w:p>
    <w:p>
      <w:pPr>
        <w:pStyle w:val="FirstParagraph"/>
      </w:pPr>
      <w:r>
        <w:t xml:space="preserve">Data Scientists in Qatar Doha gain unparalleled exposure to high-impact projects like the National AI Strategy (2024) and Smart Cities Initiative. Unlike traditional markets, our recruitment emphasizes rapid career progression: 76% of Data Scientist hires achieve senior roles within 18 months versus industry averages of 36 months.</w:t>
      </w:r>
    </w:p>
    <w:bookmarkEnd w:id="24"/>
    <w:bookmarkStart w:id="25" w:name="lifestyle-premium"/>
    <w:p>
      <w:pPr>
        <w:pStyle w:val="Heading3"/>
      </w:pPr>
      <w:r>
        <w:t xml:space="preserve">2. Lifestyle Premium</w:t>
      </w:r>
    </w:p>
    <w:p>
      <w:pPr>
        <w:pStyle w:val="FirstParagraph"/>
      </w:pPr>
      <w:r>
        <w:t xml:space="preserve">We highlight Qatar Doha's unique lifestyle advantages: premium housing allowances, family relocation support (including international school tuition), and access to world-class healthcare. The campaign features testimonials from current Data Scientists in Doha describing "unmatched work-life balance" amid cultural richness (e.g., 10% higher vacation days than Western counterparts).</w:t>
      </w:r>
    </w:p>
    <w:bookmarkEnd w:id="25"/>
    <w:bookmarkStart w:id="26" w:name="strategic-market-positioning"/>
    <w:p>
      <w:pPr>
        <w:pStyle w:val="Heading3"/>
      </w:pPr>
      <w:r>
        <w:t xml:space="preserve">3. Strategic Market Positioning</w:t>
      </w:r>
    </w:p>
    <w:p>
      <w:pPr>
        <w:pStyle w:val="FirstParagraph"/>
      </w:pPr>
      <w:r>
        <w:t xml:space="preserve">The Marketing Plan strategically differentiates Qatar Doha from Dubai/Abu Dhabi by emphasizing:</w:t>
      </w:r>
    </w:p>
    <w:p>
      <w:pPr>
        <w:numPr>
          <w:ilvl w:val="0"/>
          <w:numId w:val="1003"/>
        </w:numPr>
        <w:pStyle w:val="Compact"/>
      </w:pPr>
      <w:r>
        <w:t xml:space="preserve">Stronger government backing for tech innovation (Qatar Science &amp; Technology Park funding)</w:t>
      </w:r>
    </w:p>
    <w:p>
      <w:pPr>
        <w:numPr>
          <w:ilvl w:val="0"/>
          <w:numId w:val="1003"/>
        </w:numPr>
        <w:pStyle w:val="Compact"/>
      </w:pPr>
      <w:r>
        <w:t xml:space="preserve">Cultural compatibility with Western expatriates (English widely spoken in corporate settings)</w:t>
      </w:r>
    </w:p>
    <w:p>
      <w:pPr>
        <w:numPr>
          <w:ilvl w:val="0"/>
          <w:numId w:val="1003"/>
        </w:numPr>
        <w:pStyle w:val="Compact"/>
      </w:pPr>
      <w:r>
        <w:t xml:space="preserve">Safety and stability (ranked #1 safest Gulf nation by Numbeo 2023)</w:t>
      </w:r>
    </w:p>
    <w:bookmarkEnd w:id="26"/>
    <w:bookmarkEnd w:id="27"/>
    <w:bookmarkStart w:id="30" w:name="marketing-tactics-channels"/>
    <w:p>
      <w:pPr>
        <w:pStyle w:val="Heading2"/>
      </w:pPr>
      <w:r>
        <w:t xml:space="preserve">Marketing Tactics &amp; Channels</w:t>
      </w:r>
    </w:p>
    <w:p>
      <w:pPr>
        <w:pStyle w:val="FirstParagraph"/>
      </w:pPr>
      <w:r>
        <w:t xml:space="preserve">Our integrated approach leverages both digital and experiential strategies:</w:t>
      </w:r>
    </w:p>
    <w:bookmarkStart w:id="28" w:name="digital-campaigns"/>
    <w:p>
      <w:pPr>
        <w:pStyle w:val="Heading3"/>
      </w:pPr>
      <w:r>
        <w:t xml:space="preserve">Digital Campaigns</w:t>
      </w:r>
    </w:p>
    <w:p>
      <w:pPr>
        <w:numPr>
          <w:ilvl w:val="0"/>
          <w:numId w:val="1004"/>
        </w:numPr>
        <w:pStyle w:val="Compact"/>
      </w:pPr>
      <w:r>
        <w:rPr>
          <w:bCs/>
          <w:b/>
        </w:rPr>
        <w:t xml:space="preserve">Geo-Targeted LinkedIn Ads:</w:t>
      </w:r>
      <w:r>
        <w:t xml:space="preserve"> </w:t>
      </w:r>
      <w:r>
        <w:t xml:space="preserve">Custom campaigns targeting Data Scientists with keywords "machine learning," "big data," and locations in EU/US. Ad copy features video testimonials from existing Qatar Doha Data Scientists.</w:t>
      </w:r>
    </w:p>
    <w:p>
      <w:pPr>
        <w:numPr>
          <w:ilvl w:val="0"/>
          <w:numId w:val="1004"/>
        </w:numPr>
        <w:pStyle w:val="Compact"/>
      </w:pPr>
      <w:r>
        <w:rPr>
          <w:bCs/>
          <w:b/>
        </w:rPr>
        <w:t xml:space="preserve">SEO-Optimized Content Hub:</w:t>
      </w:r>
      <w:r>
        <w:t xml:space="preserve"> </w:t>
      </w:r>
      <w:r>
        <w:t xml:space="preserve">Dedicated microsite "DataScientistQatar.com" featuring case studies (e.g., "How a Data Scientist at Qatar Airways Reduced Flight Delays by 32%"). Includes Q&amp;A with Ministry of Transport AI leaders.</w:t>
      </w:r>
    </w:p>
    <w:p>
      <w:pPr>
        <w:numPr>
          <w:ilvl w:val="0"/>
          <w:numId w:val="1004"/>
        </w:numPr>
        <w:pStyle w:val="Compact"/>
      </w:pPr>
      <w:r>
        <w:rPr>
          <w:bCs/>
          <w:b/>
        </w:rPr>
        <w:t xml:space="preserve">University Partnerships:</w:t>
      </w:r>
      <w:r>
        <w:t xml:space="preserve"> </w:t>
      </w:r>
      <w:r>
        <w:t xml:space="preserve">Exclusive recruitment drives at top STEM programs (Carnegie Mellon Qatar, Texas A&amp;M Qatar) with scholarship opportunities for top candidates.</w:t>
      </w:r>
    </w:p>
    <w:bookmarkEnd w:id="28"/>
    <w:bookmarkStart w:id="29" w:name="experiential-marketing"/>
    <w:p>
      <w:pPr>
        <w:pStyle w:val="Heading3"/>
      </w:pPr>
      <w:r>
        <w:t xml:space="preserve">Experiential Marketing</w:t>
      </w:r>
    </w:p>
    <w:p>
      <w:pPr>
        <w:numPr>
          <w:ilvl w:val="0"/>
          <w:numId w:val="1005"/>
        </w:numPr>
        <w:pStyle w:val="Compact"/>
      </w:pPr>
      <w:r>
        <w:rPr>
          <w:bCs/>
          <w:b/>
        </w:rPr>
        <w:t xml:space="preserve">Doha Tech Immersion Days:</w:t>
      </w:r>
      <w:r>
        <w:t xml:space="preserve"> </w:t>
      </w:r>
      <w:r>
        <w:t xml:space="preserve">Annual 2-day events in Doha offering Data Scientists hands-on workshops with Qatari government projects, followed by networking dinners at luxury venues (e.g., Ritz-Carlton Doha).</w:t>
      </w:r>
    </w:p>
    <w:p>
      <w:pPr>
        <w:numPr>
          <w:ilvl w:val="0"/>
          <w:numId w:val="1005"/>
        </w:numPr>
        <w:pStyle w:val="Compact"/>
      </w:pPr>
      <w:r>
        <w:rPr>
          <w:bCs/>
          <w:b/>
        </w:rPr>
        <w:t xml:space="preserve">Virtual Reality Tours:</w:t>
      </w:r>
      <w:r>
        <w:t xml:space="preserve"> </w:t>
      </w:r>
      <w:r>
        <w:t xml:space="preserve">Interactive VR experiences showcasing Qatar Doha's infrastructure, cultural sites (Souq Waqif), and workplace environments via the "Qatar Data Experience" app.</w:t>
      </w:r>
    </w:p>
    <w:bookmarkEnd w:id="29"/>
    <w:bookmarkEnd w:id="30"/>
    <w:bookmarkStart w:id="31" w:name="budget-allocation-timeline"/>
    <w:p>
      <w:pPr>
        <w:pStyle w:val="Heading2"/>
      </w:pPr>
      <w:r>
        <w:t xml:space="preserve">Budget Allocation &amp; Timeline</w:t>
      </w:r>
    </w:p>
    <w:p>
      <w:pPr>
        <w:pStyle w:val="FirstParagraph"/>
      </w:pPr>
      <w:r>
        <w:t xml:space="preserve">The Marketing Plan allocates $185,000 across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w:t>
            </w:r>
          </w:p>
        </w:tc>
        <w:tc>
          <w:tcPr/>
          <w:p>
            <w:pPr>
              <w:pStyle w:val="Compact"/>
              <w:jc w:val="left"/>
            </w:pPr>
            <w:r>
              <w:t xml:space="preserve">Tactics</w:t>
            </w:r>
          </w:p>
        </w:tc>
      </w:tr>
      <w:tr>
        <w:tc>
          <w:tcPr/>
          <w:p>
            <w:pPr>
              <w:pStyle w:val="Compact"/>
              <w:jc w:val="left"/>
            </w:pPr>
            <w:r>
              <w:t xml:space="preserve">Foundation Launch</w:t>
            </w:r>
          </w:p>
        </w:tc>
        <w:tc>
          <w:tcPr/>
          <w:p>
            <w:pPr>
              <w:pStyle w:val="Compact"/>
              <w:jc w:val="left"/>
            </w:pPr>
            <w:r>
              <w:t xml:space="preserve">Q1 2024 (Jan-Mar)</w:t>
            </w:r>
          </w:p>
        </w:tc>
        <w:tc>
          <w:tcPr/>
          <w:p>
            <w:pPr>
              <w:pStyle w:val="Compact"/>
              <w:jc w:val="left"/>
            </w:pPr>
            <w:r>
              <w:t xml:space="preserve">$50,000</w:t>
            </w:r>
          </w:p>
        </w:tc>
        <w:tc>
          <w:tcPr/>
          <w:p>
            <w:pPr>
              <w:pStyle w:val="Compact"/>
              <w:jc w:val="left"/>
            </w:pPr>
            <w:r>
              <w:t xml:space="preserve">Digital asset creation, university outreach setup, initial LinkedIn campaigns.</w:t>
            </w:r>
          </w:p>
        </w:tc>
      </w:tr>
      <w:tr>
        <w:tc>
          <w:tcPr/>
          <w:p>
            <w:pPr>
              <w:pStyle w:val="Compact"/>
              <w:jc w:val="left"/>
            </w:pPr>
            <w:r>
              <w:t xml:space="preserve">Growth Acceleration</w:t>
            </w:r>
          </w:p>
        </w:tc>
        <w:tc>
          <w:tcPr/>
          <w:p>
            <w:pPr>
              <w:pStyle w:val="Compact"/>
              <w:jc w:val="left"/>
            </w:pPr>
            <w:r>
              <w:t xml:space="preserve">Q2 2024 (Apr-Jun)</w:t>
            </w:r>
          </w:p>
        </w:tc>
        <w:tc>
          <w:tcPr/>
          <w:p>
            <w:pPr>
              <w:pStyle w:val="Compact"/>
              <w:jc w:val="left"/>
            </w:pPr>
            <w:r>
              <w:t xml:space="preserve">$85,000</w:t>
            </w:r>
          </w:p>
        </w:tc>
        <w:tc>
          <w:tcPr/>
          <w:p>
            <w:pPr>
              <w:pStyle w:val="Compact"/>
              <w:jc w:val="left"/>
            </w:pPr>
            <w:r>
              <w:t xml:space="preserve">Luxury event hosting in Doha, VR tour development, targeted paid ads.</w:t>
            </w:r>
          </w:p>
        </w:tc>
      </w:tr>
      <w:tr>
        <w:tc>
          <w:tcPr/>
          <w:p>
            <w:pPr>
              <w:pStyle w:val="Compact"/>
              <w:jc w:val="left"/>
            </w:pPr>
            <w:r>
              <w:t xml:space="preserve">Retention &amp; Expansion</w:t>
            </w:r>
          </w:p>
        </w:tc>
        <w:tc>
          <w:tcPr/>
          <w:p>
            <w:pPr>
              <w:pStyle w:val="Compact"/>
              <w:jc w:val="left"/>
            </w:pPr>
            <w:r>
              <w:t xml:space="preserve">Q3-Q4 2024 (Jul-Dec)</w:t>
            </w:r>
          </w:p>
        </w:tc>
        <w:tc>
          <w:tcPr/>
          <w:p>
            <w:pPr>
              <w:pStyle w:val="Compact"/>
              <w:jc w:val="left"/>
            </w:pPr>
            <w:r>
              <w:t xml:space="preserve">$50,000</w:t>
            </w:r>
          </w:p>
        </w:tc>
        <w:tc>
          <w:tcPr/>
          <w:p>
            <w:pPr>
              <w:pStyle w:val="Compact"/>
              <w:jc w:val="left"/>
            </w:pPr>
            <w:r>
              <w:t xml:space="preserve">Alumni network building, referral program scaling, post-hire satisfaction surveys.</w:t>
            </w:r>
          </w:p>
        </w:tc>
      </w:tr>
    </w:tbl>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conversion rates (target: 35% from initial contact to interview), cost-per-hire (target: &lt;$12,000), retention rate at 12 months (target: 85%).</w:t>
      </w:r>
    </w:p>
    <w:p>
      <w:pPr>
        <w:numPr>
          <w:ilvl w:val="0"/>
          <w:numId w:val="1006"/>
        </w:numPr>
        <w:pStyle w:val="Compact"/>
      </w:pPr>
      <w:r>
        <w:rPr>
          <w:bCs/>
          <w:b/>
        </w:rPr>
        <w:t xml:space="preserve">Qualitative:</w:t>
      </w:r>
      <w:r>
        <w:t xml:space="preserve"> </w:t>
      </w:r>
      <w:r>
        <w:t xml:space="preserve">Candidate perception surveys measuring "Qatar Doha as preferred destination" scores (target: ≥4.7/5).</w:t>
      </w:r>
    </w:p>
    <w:bookmarkEnd w:id="32"/>
    <w:bookmarkStart w:id="33" w:name="conclusion-the-qatar-doha-advantage"/>
    <w:p>
      <w:pPr>
        <w:pStyle w:val="Heading2"/>
      </w:pPr>
      <w:r>
        <w:t xml:space="preserve">Conclusion: The Qatar Doha Advantage</w:t>
      </w:r>
    </w:p>
    <w:p>
      <w:pPr>
        <w:pStyle w:val="FirstParagraph"/>
      </w:pPr>
      <w:r>
        <w:t xml:space="preserve">This Marketing Plan positions Qatar Doha not merely as a job location, but as the strategic nexus where Data Scientists can drive transformative impact while enjoying unparalleled quality of life. By embedding the "Data Scientist in Qatar Doha" narrative across all touchpoints—from digital channels to experiential events—we create an irresistible value proposition that addresses both professional ambitions and personal aspirations. As Qatar continues its $20 billion investment in AI infrastructure, this Marketing Plan ensures our recruitment strategy remains at the forefront of attracting talent who will shape the nation's data-driven future. The success of this plan will directly contribute to making Doha a global benchmark for Data Scientist employment in the MENA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Qatar Doha</dc:title>
  <dc:creator/>
  <dc:language>en</dc:language>
  <cp:keywords/>
  <dcterms:created xsi:type="dcterms:W3CDTF">2026-04-30T20:02:54Z</dcterms:created>
  <dcterms:modified xsi:type="dcterms:W3CDTF">2026-04-30T20:02:54Z</dcterms:modified>
</cp:coreProperties>
</file>

<file path=docProps/custom.xml><?xml version="1.0" encoding="utf-8"?>
<Properties xmlns="http://schemas.openxmlformats.org/officeDocument/2006/custom-properties" xmlns:vt="http://schemas.openxmlformats.org/officeDocument/2006/docPropsVTypes"/>
</file>