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3" w:name="Xd77bcc787deec722dffc0c82da437d64f5c8733"/>
    <w:p>
      <w:pPr>
        <w:pStyle w:val="Heading1"/>
      </w:pPr>
      <w:r>
        <w:t xml:space="preserve">Comprehensive Marketing Plan for Professional Dietitian Services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in Uzbekistan Tashkent. As health awareness surges in Central Asia, our specialized dietitian practice addresses critical gaps in personalized nutrition care. With 73% of Tashkent residents reporting weight management concerns (Uzbekistan Health Ministry, 2023), we position ourselves as the premier provider of culturally tailored nutrition solutions. Our plan targets urban professionals and health-conscious families while leveraging Uzbekistan's growing wellness economy, projected to reach $1.2 billion by 2027.</w:t>
      </w:r>
    </w:p>
    <w:bookmarkEnd w:id="20"/>
    <w:bookmarkStart w:id="21" w:name="X65f0fd5a55b47be03c2e6587f34b74c686c3c0d"/>
    <w:p>
      <w:pPr>
        <w:pStyle w:val="Heading2"/>
      </w:pPr>
      <w:r>
        <w:t xml:space="preserve">Market Analysis: Uzbekistan Tashkent Context</w:t>
      </w:r>
    </w:p>
    <w:p>
      <w:pPr>
        <w:pStyle w:val="FirstParagraph"/>
      </w:pPr>
      <w:r>
        <w:t xml:space="preserve">Tashkent's nutrition landscape reveals significant opportunities. Traditional diets rich in carbohydrates (bread, rice) combined with rising sedentary lifestyles have fueled a 45% increase in obesity rates since 2018. However, professional dietitian services remain scarce—only 12 certified practitioners serve Uzbekistan's entire population of 35 million. Competitors operate primarily as general health advisors without specialized nutrition training, creating a clear market gap for evidence-based Dietitian expertise.</w:t>
      </w:r>
    </w:p>
    <w:p>
      <w:pPr>
        <w:pStyle w:val="BodyText"/>
      </w:pPr>
      <w:r>
        <w:t xml:space="preserve">Key trends in Uzbekistan Tashkent include:</w:t>
      </w:r>
    </w:p>
    <w:p>
      <w:pPr>
        <w:numPr>
          <w:ilvl w:val="0"/>
          <w:numId w:val="1001"/>
        </w:numPr>
        <w:pStyle w:val="Compact"/>
      </w:pPr>
      <w:r>
        <w:t xml:space="preserve">Rising demand for diabetes/obesity management (affecting 18% of adults)</w:t>
      </w:r>
    </w:p>
    <w:p>
      <w:pPr>
        <w:numPr>
          <w:ilvl w:val="0"/>
          <w:numId w:val="1001"/>
        </w:numPr>
        <w:pStyle w:val="Compact"/>
      </w:pPr>
      <w:r>
        <w:t xml:space="preserve">Increased social media engagement with wellness content (+200% YoY on Instagram)</w:t>
      </w:r>
    </w:p>
    <w:p>
      <w:pPr>
        <w:numPr>
          <w:ilvl w:val="0"/>
          <w:numId w:val="1001"/>
        </w:numPr>
        <w:pStyle w:val="Compact"/>
      </w:pPr>
      <w:r>
        <w:t xml:space="preserve">Government initiatives promoting "Healthy Uzbekistan" with nutrition education</w:t>
      </w:r>
    </w:p>
    <w:bookmarkEnd w:id="21"/>
    <w:bookmarkStart w:id="22" w:name="marketing-objectives-year-1"/>
    <w:p>
      <w:pPr>
        <w:pStyle w:val="Heading2"/>
      </w:pPr>
      <w:r>
        <w:t xml:space="preserve">Marketing Objectives (Year 1)</w:t>
      </w:r>
    </w:p>
    <w:p>
      <w:pPr>
        <w:numPr>
          <w:ilvl w:val="0"/>
          <w:numId w:val="1002"/>
        </w:numPr>
        <w:pStyle w:val="Compact"/>
      </w:pPr>
      <w:r>
        <w:t xml:space="preserve">Acquire 350 active clients within 12 months through targeted digital campaigns</w:t>
      </w:r>
    </w:p>
    <w:p>
      <w:pPr>
        <w:numPr>
          <w:ilvl w:val="0"/>
          <w:numId w:val="1002"/>
        </w:numPr>
        <w:pStyle w:val="Compact"/>
      </w:pPr>
      <w:r>
        <w:t xml:space="preserve">Secure partnerships with 5 major Tashkent hospitals and fitness centers</w:t>
      </w:r>
    </w:p>
    <w:p>
      <w:pPr>
        <w:numPr>
          <w:ilvl w:val="0"/>
          <w:numId w:val="1002"/>
        </w:numPr>
        <w:pStyle w:val="Compact"/>
      </w:pPr>
      <w:r>
        <w:t xml:space="preserve">Achieve 75% brand recognition among health-conscious Tashkent residents (18-45 age group)</w:t>
      </w:r>
    </w:p>
    <w:p>
      <w:pPr>
        <w:numPr>
          <w:ilvl w:val="0"/>
          <w:numId w:val="1002"/>
        </w:numPr>
        <w:pStyle w:val="Compact"/>
      </w:pPr>
      <w:r>
        <w:t xml:space="preserve">Establish premium pricing at $30-$60 per consultation (22% above local competitors)</w:t>
      </w:r>
    </w:p>
    <w:bookmarkEnd w:id="22"/>
    <w:bookmarkStart w:id="23" w:name="target-audience-in-uzbekistan-tashkent"/>
    <w:p>
      <w:pPr>
        <w:pStyle w:val="Heading2"/>
      </w:pPr>
      <w:r>
        <w:t xml:space="preserve">Target Audience in Uzbekistan Tashkent</w:t>
      </w:r>
    </w:p>
    <w:p>
      <w:pPr>
        <w:pStyle w:val="FirstParagraph"/>
      </w:pPr>
      <w:r>
        <w:t xml:space="preserve">We focus on three core segments within Tashkent:</w:t>
      </w:r>
    </w:p>
    <w:p>
      <w:pPr>
        <w:numPr>
          <w:ilvl w:val="0"/>
          <w:numId w:val="1003"/>
        </w:numPr>
        <w:pStyle w:val="Compact"/>
      </w:pPr>
      <w:r>
        <w:rPr>
          <w:bCs/>
          <w:b/>
        </w:rPr>
        <w:t xml:space="preserve">Urban Professionals (65%):</w:t>
      </w:r>
      <w:r>
        <w:t xml:space="preserve"> </w:t>
      </w:r>
      <w:r>
        <w:t xml:space="preserve">Office workers aged 28-45 with high disposable income, seeking weight management and stress-related nutrition solutions. They value convenience and digital engagement.</w:t>
      </w:r>
    </w:p>
    <w:p>
      <w:pPr>
        <w:numPr>
          <w:ilvl w:val="0"/>
          <w:numId w:val="1003"/>
        </w:numPr>
        <w:pStyle w:val="Compact"/>
      </w:pPr>
      <w:r>
        <w:rPr>
          <w:bCs/>
          <w:b/>
        </w:rPr>
        <w:t xml:space="preserve">Fitness Enthusiasts (20%):</w:t>
      </w:r>
      <w:r>
        <w:t xml:space="preserve"> </w:t>
      </w:r>
      <w:r>
        <w:t xml:space="preserve">Gym-goers and athletes requiring sports nutrition planning, primarily in Tashkent's growing gym sector (150+ facilities).</w:t>
      </w:r>
    </w:p>
    <w:p>
      <w:pPr>
        <w:numPr>
          <w:ilvl w:val="0"/>
          <w:numId w:val="1003"/>
        </w:numPr>
        <w:pStyle w:val="Compact"/>
      </w:pPr>
      <w:r>
        <w:rPr>
          <w:bCs/>
          <w:b/>
        </w:rPr>
        <w:t xml:space="preserve">Chronic Condition Patients (15%):</w:t>
      </w:r>
      <w:r>
        <w:t xml:space="preserve"> </w:t>
      </w:r>
      <w:r>
        <w:t xml:space="preserve">Individuals managing diabetes or hypertension, referred through medical partnerships.</w:t>
      </w:r>
    </w:p>
    <w:bookmarkEnd w:id="23"/>
    <w:bookmarkStart w:id="28" w:name="X0ac03b1f0867fae74a609f85c94585da1307182"/>
    <w:p>
      <w:pPr>
        <w:pStyle w:val="Heading2"/>
      </w:pPr>
      <w:r>
        <w:t xml:space="preserve">Marketing Strategies: The 4 Ps for Uzbekistan Tashkent</w:t>
      </w:r>
    </w:p>
    <w:bookmarkStart w:id="24" w:name="X23dc92d56ec658ebdefca012222bfd45d6fc624"/>
    <w:p>
      <w:pPr>
        <w:pStyle w:val="Heading3"/>
      </w:pPr>
      <w:r>
        <w:t xml:space="preserve">Product: Culturally Adaptive Dietitian Services</w:t>
      </w:r>
    </w:p>
    <w:p>
      <w:pPr>
        <w:pStyle w:val="FirstParagraph"/>
      </w:pPr>
      <w:r>
        <w:t xml:space="preserve">We offer:</w:t>
      </w:r>
    </w:p>
    <w:p>
      <w:pPr>
        <w:numPr>
          <w:ilvl w:val="0"/>
          <w:numId w:val="1004"/>
        </w:numPr>
        <w:pStyle w:val="Compact"/>
      </w:pPr>
      <w:r>
        <w:rPr>
          <w:bCs/>
          <w:b/>
        </w:rPr>
        <w:t xml:space="preserve">Cultural Nutrition Plans:</w:t>
      </w:r>
      <w:r>
        <w:t xml:space="preserve"> </w:t>
      </w:r>
      <w:r>
        <w:t xml:space="preserve">Menus incorporating Uzbek staples like plov, lagman, and non in weight management programs.</w:t>
      </w:r>
    </w:p>
    <w:p>
      <w:pPr>
        <w:numPr>
          <w:ilvl w:val="0"/>
          <w:numId w:val="1004"/>
        </w:numPr>
        <w:pStyle w:val="Compact"/>
      </w:pPr>
      <w:r>
        <w:rPr>
          <w:bCs/>
          <w:b/>
        </w:rPr>
        <w:t xml:space="preserve">Digital Tools:</w:t>
      </w:r>
      <w:r>
        <w:t xml:space="preserve"> </w:t>
      </w:r>
      <w:r>
        <w:t xml:space="preserve">Bilingual (Uzbek/English) app for meal tracking with Tashkent-specific food databases.</w:t>
      </w:r>
    </w:p>
    <w:p>
      <w:pPr>
        <w:numPr>
          <w:ilvl w:val="0"/>
          <w:numId w:val="1004"/>
        </w:numPr>
        <w:pStyle w:val="Compact"/>
      </w:pPr>
      <w:r>
        <w:rPr>
          <w:bCs/>
          <w:b/>
        </w:rPr>
        <w:t xml:space="preserve">Specialized Packages:</w:t>
      </w:r>
      <w:r>
        <w:t xml:space="preserve"> </w:t>
      </w:r>
      <w:r>
        <w:t xml:space="preserve">"Tashkent Diabetes Care" and "Post-Festivity Reset" programs addressing local dietary habits.</w:t>
      </w:r>
    </w:p>
    <w:bookmarkEnd w:id="24"/>
    <w:bookmarkStart w:id="25" w:name="pricing-premium-positioning"/>
    <w:p>
      <w:pPr>
        <w:pStyle w:val="Heading3"/>
      </w:pPr>
      <w:r>
        <w:t xml:space="preserve">Pricing: Premium Positioning</w:t>
      </w:r>
    </w:p>
    <w:p>
      <w:pPr>
        <w:pStyle w:val="FirstParagraph"/>
      </w:pPr>
      <w:r>
        <w:t xml:space="preserve">Our pricing strategy reflects Uzbekistan Tashkent's market dynamics:</w:t>
      </w:r>
    </w:p>
    <w:p>
      <w:pPr>
        <w:numPr>
          <w:ilvl w:val="0"/>
          <w:numId w:val="1005"/>
        </w:numPr>
        <w:pStyle w:val="Compact"/>
      </w:pPr>
      <w:r>
        <w:t xml:space="preserve">Initial Consultation: $45 (vs. local average $25)</w:t>
      </w:r>
    </w:p>
    <w:p>
      <w:pPr>
        <w:numPr>
          <w:ilvl w:val="0"/>
          <w:numId w:val="1005"/>
        </w:numPr>
        <w:pStyle w:val="Compact"/>
      </w:pPr>
      <w:r>
        <w:t xml:space="preserve">Monthly Plan: $120 (includes 4 personalized sessions + app access)</w:t>
      </w:r>
    </w:p>
    <w:p>
      <w:pPr>
        <w:numPr>
          <w:ilvl w:val="0"/>
          <w:numId w:val="1005"/>
        </w:numPr>
        <w:pStyle w:val="Compact"/>
      </w:pPr>
      <w:r>
        <w:t xml:space="preserve">Corporate Wellness Packages: Customized for Tashkent businesses at $80/employee</w:t>
      </w:r>
    </w:p>
    <w:bookmarkEnd w:id="25"/>
    <w:bookmarkStart w:id="26" w:name="X9e2da8dcdbc20952a2982c1e10d1ebf26d9820d"/>
    <w:p>
      <w:pPr>
        <w:pStyle w:val="Heading3"/>
      </w:pPr>
      <w:r>
        <w:t xml:space="preserve">Place: Strategic Accessibility in Tashkent</w:t>
      </w:r>
    </w:p>
    <w:p>
      <w:pPr>
        <w:pStyle w:val="FirstParagraph"/>
      </w:pPr>
      <w:r>
        <w:t xml:space="preserve">We optimize service delivery through:</w:t>
      </w:r>
    </w:p>
    <w:p>
      <w:pPr>
        <w:numPr>
          <w:ilvl w:val="0"/>
          <w:numId w:val="1006"/>
        </w:numPr>
        <w:pStyle w:val="Compact"/>
      </w:pPr>
      <w:r>
        <w:rPr>
          <w:bCs/>
          <w:b/>
        </w:rPr>
        <w:t xml:space="preserve">Primary Location:</w:t>
      </w:r>
      <w:r>
        <w:t xml:space="preserve"> </w:t>
      </w:r>
      <w:r>
        <w:t xml:space="preserve">Clinic in Chilanzar District (high foot traffic, near Tashkent Mall)</w:t>
      </w:r>
    </w:p>
    <w:p>
      <w:pPr>
        <w:numPr>
          <w:ilvl w:val="0"/>
          <w:numId w:val="1006"/>
        </w:numPr>
        <w:pStyle w:val="Compact"/>
      </w:pPr>
      <w:r>
        <w:rPr>
          <w:bCs/>
          <w:b/>
        </w:rPr>
        <w:t xml:space="preserve">Digital Presence:</w:t>
      </w:r>
      <w:r>
        <w:t xml:space="preserve"> </w:t>
      </w:r>
      <w:r>
        <w:t xml:space="preserve">Telehealth consultations for remote areas of Uzbekistan</w:t>
      </w:r>
    </w:p>
    <w:p>
      <w:pPr>
        <w:numPr>
          <w:ilvl w:val="0"/>
          <w:numId w:val="1006"/>
        </w:numPr>
        <w:pStyle w:val="Compact"/>
      </w:pPr>
      <w:r>
        <w:rPr>
          <w:bCs/>
          <w:b/>
        </w:rPr>
        <w:t xml:space="preserve">Partnerships:</w:t>
      </w:r>
      <w:r>
        <w:t xml:space="preserve"> </w:t>
      </w:r>
      <w:r>
        <w:t xml:space="preserve">On-site dietitian services at 3 major Tashkent hospitals and premium gyms (e.g., Fit City Gym)</w:t>
      </w:r>
    </w:p>
    <w:bookmarkEnd w:id="26"/>
    <w:bookmarkStart w:id="27" w:name="Xa2042ae054415c2915a511f8f0d1bd3291c571a"/>
    <w:p>
      <w:pPr>
        <w:pStyle w:val="Heading3"/>
      </w:pPr>
      <w:r>
        <w:t xml:space="preserve">Promotion: Localized Digital &amp; Community Engagement</w:t>
      </w:r>
    </w:p>
    <w:p>
      <w:pPr>
        <w:pStyle w:val="FirstParagraph"/>
      </w:pPr>
      <w:r>
        <w:t xml:space="preserve">Our promotional tactics leverage Uzbekistan Tashkent's media landscape:</w:t>
      </w:r>
    </w:p>
    <w:p>
      <w:pPr>
        <w:numPr>
          <w:ilvl w:val="0"/>
          <w:numId w:val="1007"/>
        </w:numPr>
        <w:pStyle w:val="Compact"/>
      </w:pPr>
      <w:r>
        <w:rPr>
          <w:bCs/>
          <w:b/>
        </w:rPr>
        <w:t xml:space="preserve">Instagram &amp; TikTok Campaigns:</w:t>
      </w:r>
      <w:r>
        <w:t xml:space="preserve"> </w:t>
      </w:r>
      <w:r>
        <w:t xml:space="preserve">"Tashkent Kitchen" series showcasing healthy adaptations of local dishes (e.g., low-carb plov).</w:t>
      </w:r>
    </w:p>
    <w:p>
      <w:pPr>
        <w:numPr>
          <w:ilvl w:val="0"/>
          <w:numId w:val="1007"/>
        </w:numPr>
        <w:pStyle w:val="Compact"/>
      </w:pPr>
      <w:r>
        <w:rPr>
          <w:bCs/>
          <w:b/>
        </w:rPr>
        <w:t xml:space="preserve">Local Influencers:</w:t>
      </w:r>
      <w:r>
        <w:t xml:space="preserve"> </w:t>
      </w:r>
      <w:r>
        <w:t xml:space="preserve">Collaborating with Tashkent wellness influencers for authentic content.</w:t>
      </w:r>
    </w:p>
    <w:p>
      <w:pPr>
        <w:numPr>
          <w:ilvl w:val="0"/>
          <w:numId w:val="1007"/>
        </w:numPr>
        <w:pStyle w:val="Compact"/>
      </w:pPr>
      <w:r>
        <w:rPr>
          <w:bCs/>
          <w:b/>
        </w:rPr>
        <w:t xml:space="preserve">Community Events:</w:t>
      </w:r>
      <w:r>
        <w:t xml:space="preserve"> </w:t>
      </w:r>
      <w:r>
        <w:t xml:space="preserve">Free nutrition workshops at Tashkent parks and community centers during Ramadan/Novruz.</w:t>
      </w:r>
    </w:p>
    <w:p>
      <w:pPr>
        <w:numPr>
          <w:ilvl w:val="0"/>
          <w:numId w:val="1007"/>
        </w:numPr>
        <w:pStyle w:val="Compact"/>
      </w:pPr>
      <w:r>
        <w:rPr>
          <w:bCs/>
          <w:b/>
        </w:rPr>
        <w:t xml:space="preserve">Sponsored Health Talks:</w:t>
      </w:r>
      <w:r>
        <w:t xml:space="preserve"> </w:t>
      </w:r>
      <w:r>
        <w:t xml:space="preserve">Partnering with Tashkent Municipal Health Department for "Healthy Living" seminars.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clinic in Chilanzar; onboard 3 certified Dietitian staff; begin social media campaign with local influencers.</w:t>
      </w:r>
    </w:p>
    <w:p>
      <w:pPr>
        <w:pStyle w:val="BodyText"/>
      </w:pPr>
      <w:r>
        <w:t xml:space="preserve">Q2 2024</w:t>
      </w:r>
    </w:p>
    <w:p>
      <w:pPr>
        <w:pStyle w:val="BodyText"/>
      </w:pPr>
      <w:r>
        <w:t xml:space="preserve">Secure hospital partnerships; debut digital app with Uzbek-language interface; host first community workshop.</w:t>
      </w:r>
    </w:p>
    <w:p>
      <w:pPr>
        <w:pStyle w:val="BodyText"/>
      </w:pPr>
      <w:r>
        <w:t xml:space="preserve">Q3 2024</w:t>
      </w:r>
    </w:p>
    <w:p>
      <w:pPr>
        <w:pStyle w:val="BodyText"/>
      </w:pPr>
      <w:r>
        <w:t xml:space="preserve">Roll out corporate wellness packages for Tashkent businesses; expand influencer collaborations.</w:t>
      </w:r>
    </w:p>
    <w:p>
      <w:pPr>
        <w:pStyle w:val="BodyText"/>
      </w:pPr>
      <w:r>
        <w:t xml:space="preserve">Q4 2024</w:t>
      </w:r>
    </w:p>
    <w:p>
      <w:pPr>
        <w:pStyle w:val="BodyText"/>
      </w:pPr>
      <w:r>
        <w:t xml:space="preserve">Launch referral program; publish "Tashkent Healthy Eating Guide" booklet; evaluate Year 1 metrics.</w:t>
      </w:r>
    </w:p>
    <w:bookmarkEnd w:id="29"/>
    <w:bookmarkStart w:id="30" w:name="budget-allocation-total-85000"/>
    <w:p>
      <w:pPr>
        <w:pStyle w:val="Heading2"/>
      </w:pPr>
      <w:r>
        <w:t xml:space="preserve">Budget Allocation (Total: $85,000)</w:t>
      </w:r>
    </w:p>
    <w:p>
      <w:pPr>
        <w:numPr>
          <w:ilvl w:val="0"/>
          <w:numId w:val="1008"/>
        </w:numPr>
        <w:pStyle w:val="Compact"/>
      </w:pPr>
      <w:r>
        <w:t xml:space="preserve">Marketing &amp; Digital Campaigns: 45% ($38,250)</w:t>
      </w:r>
    </w:p>
    <w:p>
      <w:pPr>
        <w:numPr>
          <w:ilvl w:val="0"/>
          <w:numId w:val="1008"/>
        </w:numPr>
        <w:pStyle w:val="Compact"/>
      </w:pPr>
      <w:r>
        <w:t xml:space="preserve">Partnership Development: 30% ($25,500)</w:t>
      </w:r>
    </w:p>
    <w:p>
      <w:pPr>
        <w:numPr>
          <w:ilvl w:val="0"/>
          <w:numId w:val="1008"/>
        </w:numPr>
        <w:pStyle w:val="Compact"/>
      </w:pPr>
      <w:r>
        <w:t xml:space="preserve">Content Creation (Videos/Print): 15% ($12,750)</w:t>
      </w:r>
    </w:p>
    <w:p>
      <w:pPr>
        <w:numPr>
          <w:ilvl w:val="0"/>
          <w:numId w:val="1008"/>
        </w:numPr>
        <w:pStyle w:val="Compact"/>
      </w:pPr>
      <w:r>
        <w:t xml:space="preserve">Community Events: 10% ($8,500)</w:t>
      </w:r>
    </w:p>
    <w:bookmarkEnd w:id="30"/>
    <w:bookmarkStart w:id="31" w:name="success-metrics"/>
    <w:p>
      <w:pPr>
        <w:pStyle w:val="Heading2"/>
      </w:pPr>
      <w:r>
        <w:t xml:space="preserve">Success Metrics</w:t>
      </w:r>
    </w:p>
    <w:p>
      <w:pPr>
        <w:pStyle w:val="FirstParagraph"/>
      </w:pPr>
      <w:r>
        <w:t xml:space="preserve">We measure performance through:</w:t>
      </w:r>
    </w:p>
    <w:p>
      <w:pPr>
        <w:numPr>
          <w:ilvl w:val="0"/>
          <w:numId w:val="1009"/>
        </w:numPr>
        <w:pStyle w:val="Compact"/>
      </w:pPr>
      <w:r>
        <w:rPr>
          <w:bCs/>
          <w:b/>
        </w:rPr>
        <w:t xml:space="preserve">Client Acquisition:</w:t>
      </w:r>
      <w:r>
        <w:t xml:space="preserve"> </w:t>
      </w:r>
      <w:r>
        <w:t xml:space="preserve">Monthly new clients (Target: 30 in Month 1 → 45 by Month 6)</w:t>
      </w:r>
    </w:p>
    <w:p>
      <w:pPr>
        <w:numPr>
          <w:ilvl w:val="0"/>
          <w:numId w:val="1009"/>
        </w:numPr>
        <w:pStyle w:val="Compact"/>
      </w:pPr>
      <w:r>
        <w:rPr>
          <w:bCs/>
          <w:b/>
        </w:rPr>
        <w:t xml:space="preserve">Brand Awareness:</w:t>
      </w:r>
      <w:r>
        <w:t xml:space="preserve"> </w:t>
      </w:r>
      <w:r>
        <w:t xml:space="preserve">Social media engagement rate (&gt;8%) and recall surveys</w:t>
      </w:r>
    </w:p>
    <w:p>
      <w:pPr>
        <w:numPr>
          <w:ilvl w:val="0"/>
          <w:numId w:val="1009"/>
        </w:numPr>
        <w:pStyle w:val="Compact"/>
      </w:pPr>
      <w:r>
        <w:rPr>
          <w:bCs/>
          <w:b/>
        </w:rPr>
        <w:t xml:space="preserve">Satisfaction:</w:t>
      </w:r>
      <w:r>
        <w:t xml:space="preserve"> </w:t>
      </w:r>
      <w:r>
        <w:t xml:space="preserve">Post-consultation Net Promoter Score (Target: &gt;75)</w:t>
      </w:r>
    </w:p>
    <w:p>
      <w:pPr>
        <w:numPr>
          <w:ilvl w:val="0"/>
          <w:numId w:val="1009"/>
        </w:numPr>
        <w:pStyle w:val="Compact"/>
      </w:pPr>
      <w:r>
        <w:rPr>
          <w:bCs/>
          <w:b/>
        </w:rPr>
        <w:t xml:space="preserve">Revenue Growth:</w:t>
      </w:r>
      <w:r>
        <w:t xml:space="preserve"> </w:t>
      </w:r>
      <w:r>
        <w:t xml:space="preserve">20% MoM client retention rate</w:t>
      </w:r>
    </w:p>
    <w:bookmarkEnd w:id="31"/>
    <w:bookmarkStart w:id="32" w:name="closing-statement"/>
    <w:p>
      <w:pPr>
        <w:pStyle w:val="Heading2"/>
      </w:pPr>
      <w:r>
        <w:t xml:space="preserve">Closing Statement</w:t>
      </w:r>
    </w:p>
    <w:p>
      <w:pPr>
        <w:pStyle w:val="FirstParagraph"/>
      </w:pPr>
      <w:r>
        <w:t xml:space="preserve">This Marketing Plan strategically positions our Dietitian practice to transform nutrition care in Uzbekistan Tashkent. By blending global dietary science with authentic Uzbek cultural context, we address a critical health need while capitalizing on Tashkent's $50M wellness market. The plan's focus on digital engagement, community trust-building, and premium service differentiation ensures sustainable growth in a market where professional Dietitian expertise has been historically underdeveloped. As Uzbekistan prioritizes public health initiatives through "Healthy Uzbekistan 2030," our dietitian services will become the benchmark for evidence-based nutrition care across Tashkent and ultimately nationwide.</w:t>
      </w:r>
    </w:p>
    <w:p>
      <w:pPr>
        <w:pStyle w:val="BodyText"/>
      </w:pPr>
      <w:r>
        <w:rPr>
          <w:bCs/>
          <w:b/>
        </w:rPr>
        <w:t xml:space="preserve">Marketing Plan</w:t>
      </w:r>
      <w:r>
        <w:t xml:space="preserve"> </w:t>
      </w:r>
      <w:r>
        <w:t xml:space="preserve">implementation begins immediately, with full operational launch in Q1 2024. Our Dietitian practice doesn't just provide meals plans—we deliver culturally resonant health transformations tailored to the heart of Uzbekistan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Uzbekistan Tashkent</dc:title>
  <dc:creator/>
  <dc:language>en</dc:language>
  <cp:keywords/>
  <dcterms:created xsi:type="dcterms:W3CDTF">2026-07-23T17:08:03Z</dcterms:created>
  <dcterms:modified xsi:type="dcterms:W3CDTF">2026-07-23T17:08:03Z</dcterms:modified>
</cp:coreProperties>
</file>

<file path=docProps/custom.xml><?xml version="1.0" encoding="utf-8"?>
<Properties xmlns="http://schemas.openxmlformats.org/officeDocument/2006/custom-properties" xmlns:vt="http://schemas.openxmlformats.org/officeDocument/2006/docPropsVTypes"/>
</file>