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a084c933f261c6bb7e76f76714db82b2c9066d7"/>
    <w:p>
      <w:pPr>
        <w:pStyle w:val="Heading1"/>
      </w:pPr>
      <w:r>
        <w:t xml:space="preserve">Comprehensive Marketing Plan for Doctor General Practitioner Services in China Guangzhou</w:t>
      </w:r>
    </w:p>
    <w:bookmarkStart w:id="20" w:name="executive-summary"/>
    <w:p>
      <w:pPr>
        <w:pStyle w:val="Heading2"/>
      </w:pPr>
      <w:r>
        <w:t xml:space="preserve">Executive Summary</w:t>
      </w:r>
    </w:p>
    <w:p>
      <w:pPr>
        <w:pStyle w:val="FirstParagraph"/>
      </w:pPr>
      <w:r>
        <w:t xml:space="preserve">This Marketing Plan outlines a strategic framework to establish and grow Doctor General Practitioner (GP) services within the competitive healthcare landscape of China Guangzhou. With rising urbanization, aging population, and increasing health awareness in Guangzhou, there is a critical demand for accessible primary care. Our plan targets the 68% of Guangzhou residents who currently lack consistent GP access, positioning our Doctor General Practitioner network as the preferred choice for preventive care and first-contact medical services. This initiative will leverage digital innovation and community trust to achieve 25% market penetration in key districts within 24 months.</w:t>
      </w:r>
    </w:p>
    <w:bookmarkEnd w:id="20"/>
    <w:bookmarkStart w:id="21" w:name="market-analysis-china-guangzhou-context"/>
    <w:p>
      <w:pPr>
        <w:pStyle w:val="Heading2"/>
      </w:pPr>
      <w:r>
        <w:t xml:space="preserve">Market Analysis: China Guangzhou Context</w:t>
      </w:r>
    </w:p>
    <w:p>
      <w:pPr>
        <w:pStyle w:val="FirstParagraph"/>
      </w:pPr>
      <w:r>
        <w:t xml:space="preserve">Guangzhou, as China's third-largest city with over 18 million residents, faces significant healthcare challenges. The city's public hospitals operate at 95% capacity, creating long wait times (average 3-5 hours for non-emergency visits). A recent Guangdong Health Commission report confirms that only 42% of urban residents have a regular Doctor General Practitioner, compared to the national average of 38%. This gap is driven by:</w:t>
      </w:r>
    </w:p>
    <w:p>
      <w:pPr>
        <w:numPr>
          <w:ilvl w:val="0"/>
          <w:numId w:val="1001"/>
        </w:numPr>
        <w:pStyle w:val="Compact"/>
      </w:pPr>
      <w:r>
        <w:t xml:space="preserve">Over-reliance on hospital-based care</w:t>
      </w:r>
    </w:p>
    <w:p>
      <w:pPr>
        <w:numPr>
          <w:ilvl w:val="0"/>
          <w:numId w:val="1001"/>
        </w:numPr>
        <w:pStyle w:val="Compact"/>
      </w:pPr>
      <w:r>
        <w:t xml:space="preserve">Limited GP availability in suburban areas</w:t>
      </w:r>
    </w:p>
    <w:p>
      <w:pPr>
        <w:numPr>
          <w:ilvl w:val="0"/>
          <w:numId w:val="1001"/>
        </w:numPr>
        <w:pStyle w:val="Compact"/>
      </w:pPr>
      <w:r>
        <w:t xml:space="preserve">Cultural preference for specialist visits even for basic issues</w:t>
      </w:r>
    </w:p>
    <w:p>
      <w:pPr>
        <w:pStyle w:val="FirstParagraph"/>
      </w:pPr>
      <w:r>
        <w:t xml:space="preserve">Key competitors include hospital outpatient departments (75% market share) and emerging telemedicine platforms. However, these solutions lack the personalized continuity of care our Doctor General Practitioner model provides. The Guangzhou Municipal Government's 2023 Healthcare Reform Plan explicitly prioritizes GP network expansion, offering tax incentives for private providers meeting quality benchmarks.</w:t>
      </w:r>
    </w:p>
    <w:bookmarkEnd w:id="21"/>
    <w:bookmarkStart w:id="22" w:name="marketing-objectives"/>
    <w:p>
      <w:pPr>
        <w:pStyle w:val="Heading2"/>
      </w:pPr>
      <w:r>
        <w:t xml:space="preserve">Marketing Objectives</w:t>
      </w:r>
    </w:p>
    <w:p>
      <w:pPr>
        <w:numPr>
          <w:ilvl w:val="0"/>
          <w:numId w:val="1002"/>
        </w:numPr>
        <w:pStyle w:val="Compact"/>
      </w:pPr>
      <w:r>
        <w:t xml:space="preserve">Acquire 15,000 active Doctor General Practitioner patients in Guangzhou within 18 months</w:t>
      </w:r>
    </w:p>
    <w:p>
      <w:pPr>
        <w:numPr>
          <w:ilvl w:val="0"/>
          <w:numId w:val="1002"/>
        </w:numPr>
        <w:pStyle w:val="Compact"/>
      </w:pPr>
      <w:r>
        <w:t xml:space="preserve">Achieve 4.8/5 average patient satisfaction score (vs. city average of 3.9)</w:t>
      </w:r>
    </w:p>
    <w:p>
      <w:pPr>
        <w:numPr>
          <w:ilvl w:val="0"/>
          <w:numId w:val="1002"/>
        </w:numPr>
        <w:pStyle w:val="Compact"/>
      </w:pPr>
      <w:r>
        <w:t xml:space="preserve">Secure contracts with 25+ corporate clients for employee health programs</w:t>
      </w:r>
    </w:p>
    <w:p>
      <w:pPr>
        <w:numPr>
          <w:ilvl w:val="0"/>
          <w:numId w:val="1002"/>
        </w:numPr>
        <w:pStyle w:val="Compact"/>
      </w:pPr>
      <w:r>
        <w:t xml:space="preserve">Attain 60% brand recognition among Guangzhou residents aged 30-65 within two years</w:t>
      </w:r>
    </w:p>
    <w:bookmarkEnd w:id="22"/>
    <w:bookmarkStart w:id="27" w:name="X8a579fddbaad7491cf8e3e2951eea2433534a64"/>
    <w:p>
      <w:pPr>
        <w:pStyle w:val="Heading2"/>
      </w:pPr>
      <w:r>
        <w:t xml:space="preserve">Marketing Strategies: The Doctor General Practitioner Advantage</w:t>
      </w:r>
    </w:p>
    <w:p>
      <w:pPr>
        <w:pStyle w:val="FirstParagraph"/>
      </w:pPr>
      <w:r>
        <w:t xml:space="preserve">We will implement a 4Ps approach tailored for China Guangzhou's market:</w:t>
      </w:r>
    </w:p>
    <w:bookmarkStart w:id="23" w:name="product-culturally-adapted-gp-services"/>
    <w:p>
      <w:pPr>
        <w:pStyle w:val="Heading3"/>
      </w:pPr>
      <w:r>
        <w:t xml:space="preserve">Product: Culturally Adapted GP Services</w:t>
      </w:r>
    </w:p>
    <w:p>
      <w:pPr>
        <w:pStyle w:val="FirstParagraph"/>
      </w:pPr>
      <w:r>
        <w:t xml:space="preserve">Beyond standard consultations, our Doctor General Practitioner service includes:</w:t>
      </w:r>
    </w:p>
    <w:p>
      <w:pPr>
        <w:numPr>
          <w:ilvl w:val="0"/>
          <w:numId w:val="1003"/>
        </w:numPr>
        <w:pStyle w:val="Compact"/>
      </w:pPr>
      <w:r>
        <w:t xml:space="preserve">Integrated Traditional Chinese Medicine (TCM) consultations</w:t>
      </w:r>
    </w:p>
    <w:p>
      <w:pPr>
        <w:numPr>
          <w:ilvl w:val="0"/>
          <w:numId w:val="1003"/>
        </w:numPr>
        <w:pStyle w:val="Compact"/>
      </w:pPr>
      <w:r>
        <w:t xml:space="preserve">Mandarin/ Cantonese-speaking doctors with local community familiarity</w:t>
      </w:r>
    </w:p>
    <w:p>
      <w:pPr>
        <w:numPr>
          <w:ilvl w:val="0"/>
          <w:numId w:val="1003"/>
        </w:numPr>
        <w:pStyle w:val="Compact"/>
      </w:pPr>
      <w:r>
        <w:t xml:space="preserve">24/7 telehealth access via WeChat and DingTalk (China's dominant platforms)</w:t>
      </w:r>
    </w:p>
    <w:p>
      <w:pPr>
        <w:numPr>
          <w:ilvl w:val="0"/>
          <w:numId w:val="1003"/>
        </w:numPr>
        <w:pStyle w:val="Compact"/>
      </w:pPr>
      <w:r>
        <w:t xml:space="preserve">Predictive health screening for prevalent Guangzhou conditions (e.g., air pollution-related respiratory issues, hypertension)</w:t>
      </w:r>
    </w:p>
    <w:bookmarkEnd w:id="23"/>
    <w:bookmarkStart w:id="24" w:name="pricing-value-based-structure"/>
    <w:p>
      <w:pPr>
        <w:pStyle w:val="Heading3"/>
      </w:pPr>
      <w:r>
        <w:t xml:space="preserve">Pricing: Value-Based Structure</w:t>
      </w:r>
    </w:p>
    <w:p>
      <w:pPr>
        <w:pStyle w:val="FirstParagraph"/>
      </w:pPr>
      <w:r>
        <w:t xml:space="preserve">Competitive pricing avoiding China's common "fee-for-service" model:</w:t>
      </w:r>
    </w:p>
    <w:p>
      <w:pPr>
        <w:numPr>
          <w:ilvl w:val="0"/>
          <w:numId w:val="1004"/>
        </w:numPr>
        <w:pStyle w:val="Compact"/>
      </w:pPr>
      <w:r>
        <w:t xml:space="preserve">Annual membership: ¥299 (covers 12 visits + telehealth, 50% below hospital average)</w:t>
      </w:r>
    </w:p>
    <w:p>
      <w:pPr>
        <w:numPr>
          <w:ilvl w:val="0"/>
          <w:numId w:val="1004"/>
        </w:numPr>
        <w:pStyle w:val="Compact"/>
      </w:pPr>
      <w:r>
        <w:t xml:space="preserve">Corporate plan: ¥150/member/year (includes wellness workshops)</w:t>
      </w:r>
    </w:p>
    <w:p>
      <w:pPr>
        <w:numPr>
          <w:ilvl w:val="0"/>
          <w:numId w:val="1004"/>
        </w:numPr>
        <w:pStyle w:val="Compact"/>
      </w:pPr>
      <w:r>
        <w:t xml:space="preserve">Cashless payment via Alipay/WeChat Pay with insurance integration</w:t>
      </w:r>
    </w:p>
    <w:bookmarkEnd w:id="24"/>
    <w:bookmarkStart w:id="25" w:name="place-hyper-local-clinic-network"/>
    <w:p>
      <w:pPr>
        <w:pStyle w:val="Heading3"/>
      </w:pPr>
      <w:r>
        <w:t xml:space="preserve">Place: Hyper-Local Clinic Network</w:t>
      </w:r>
    </w:p>
    <w:p>
      <w:pPr>
        <w:pStyle w:val="FirstParagraph"/>
      </w:pPr>
      <w:r>
        <w:t xml:space="preserve">We will establish 8 strategically located clinics across Guangzhou's core districts (Yuexiu, Tianhe, Haizhu) within Year 1:</w:t>
      </w:r>
    </w:p>
    <w:p>
      <w:pPr>
        <w:numPr>
          <w:ilvl w:val="0"/>
          <w:numId w:val="1005"/>
        </w:numPr>
        <w:pStyle w:val="Compact"/>
      </w:pPr>
      <w:r>
        <w:t xml:space="preserve">Partnering with community centers in neighborhoods lacking healthcare access</w:t>
      </w:r>
    </w:p>
    <w:p>
      <w:pPr>
        <w:numPr>
          <w:ilvl w:val="0"/>
          <w:numId w:val="1005"/>
        </w:numPr>
        <w:pStyle w:val="Compact"/>
      </w:pPr>
      <w:r>
        <w:t xml:space="preserve">Mobile GP units for factory zones and elderly communities</w:t>
      </w:r>
    </w:p>
    <w:p>
      <w:pPr>
        <w:numPr>
          <w:ilvl w:val="0"/>
          <w:numId w:val="1005"/>
        </w:numPr>
        <w:pStyle w:val="Compact"/>
      </w:pPr>
      <w:r>
        <w:t xml:space="preserve">Co-location with major supermarkets (e.g., Carrefour, Yonghui) for convenience</w:t>
      </w:r>
    </w:p>
    <w:bookmarkEnd w:id="25"/>
    <w:bookmarkStart w:id="26" w:name="X1102b2ccf0e5ab78f9c954ca05a016a6f726f9e"/>
    <w:p>
      <w:pPr>
        <w:pStyle w:val="Heading3"/>
      </w:pPr>
      <w:r>
        <w:t xml:space="preserve">Promotion: Trust-Driven Community Engagement</w:t>
      </w:r>
    </w:p>
    <w:p>
      <w:pPr>
        <w:pStyle w:val="FirstParagraph"/>
      </w:pPr>
      <w:r>
        <w:t xml:space="preserve">Our promotion strategy leverages Chinese cultural preferences for community trust:</w:t>
      </w:r>
    </w:p>
    <w:p>
      <w:pPr>
        <w:numPr>
          <w:ilvl w:val="0"/>
          <w:numId w:val="1006"/>
        </w:numPr>
        <w:pStyle w:val="Compact"/>
      </w:pPr>
      <w:r>
        <w:rPr>
          <w:bCs/>
          <w:b/>
        </w:rPr>
        <w:t xml:space="preserve">Community Health Ambassadors:</w:t>
      </w:r>
      <w:r>
        <w:t xml:space="preserve"> </w:t>
      </w:r>
      <w:r>
        <w:t xml:space="preserve">Local influencers (retired teachers, neighborhood leaders) as service advocates</w:t>
      </w:r>
    </w:p>
    <w:p>
      <w:pPr>
        <w:numPr>
          <w:ilvl w:val="0"/>
          <w:numId w:val="1006"/>
        </w:numPr>
        <w:pStyle w:val="Compact"/>
      </w:pPr>
      <w:r>
        <w:rPr>
          <w:bCs/>
          <w:b/>
        </w:rPr>
        <w:t xml:space="preserve">WeChat Mini-Programs:</w:t>
      </w:r>
      <w:r>
        <w:t xml:space="preserve"> </w:t>
      </w:r>
      <w:r>
        <w:t xml:space="preserve">Free health quizzes on air quality impact + personalized GP matching</w:t>
      </w:r>
    </w:p>
    <w:p>
      <w:pPr>
        <w:numPr>
          <w:ilvl w:val="0"/>
          <w:numId w:val="1006"/>
        </w:numPr>
        <w:pStyle w:val="Compact"/>
      </w:pPr>
      <w:r>
        <w:rPr>
          <w:bCs/>
          <w:b/>
        </w:rPr>
        <w:t xml:space="preserve">Cultural Partnerships:</w:t>
      </w:r>
      <w:r>
        <w:t xml:space="preserve"> </w:t>
      </w:r>
      <w:r>
        <w:t xml:space="preserve">Collaboration with local tea houses for "Health &amp; Wellness Tea Sessions"</w:t>
      </w:r>
    </w:p>
    <w:p>
      <w:pPr>
        <w:numPr>
          <w:ilvl w:val="0"/>
          <w:numId w:val="1006"/>
        </w:numPr>
        <w:pStyle w:val="Compact"/>
      </w:pPr>
      <w:r>
        <w:rPr>
          <w:bCs/>
          <w:b/>
        </w:rPr>
        <w:t xml:space="preserve">Moments Marketing:</w:t>
      </w:r>
      <w:r>
        <w:t xml:space="preserve"> </w:t>
      </w:r>
      <w:r>
        <w:t xml:space="preserve">Patient success stories shared via Douyin (TikTok) with doctor credentials verification</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Clinic Launch &amp; Digital Setup</w:t>
            </w:r>
            <w:r>
              <w:br/>
            </w:r>
            <w:r>
              <w:t xml:space="preserve">(Establish 3 core clinics in Tianhe/Yuexiu; WeChat Mini-Program launch)</w:t>
            </w:r>
          </w:p>
        </w:tc>
      </w:tr>
      <w:tr>
        <w:tc>
          <w:tcPr/>
          <w:p>
            <w:pPr>
              <w:pStyle w:val="Compact"/>
              <w:jc w:val="left"/>
            </w:pPr>
            <w:r>
              <w:t xml:space="preserve">Q2-Q3 2024: Community Integration</w:t>
            </w:r>
            <w:r>
              <w:br/>
            </w:r>
            <w:r>
              <w:t xml:space="preserve">(Health Ambassador training; Corporate partnerships with 10 local businesses)</w:t>
            </w:r>
          </w:p>
        </w:tc>
      </w:tr>
      <w:tr>
        <w:tc>
          <w:tcPr/>
          <w:p>
            <w:pPr>
              <w:pStyle w:val="Compact"/>
              <w:jc w:val="left"/>
            </w:pPr>
            <w:r>
              <w:t xml:space="preserve">Q4 2024: Scale &amp; Recognition</w:t>
            </w:r>
            <w:r>
              <w:br/>
            </w:r>
            <w:r>
              <w:t xml:space="preserve">(Expand to 8 clinics; Target hospital referrals via Guangzhou Medical Association)</w:t>
            </w:r>
          </w:p>
        </w:tc>
      </w:tr>
    </w:tbl>
    <w:bookmarkEnd w:id="28"/>
    <w:bookmarkStart w:id="29" w:name="budget-allocation-total-3.8-million"/>
    <w:p>
      <w:pPr>
        <w:pStyle w:val="Heading2"/>
      </w:pPr>
      <w:r>
        <w:t xml:space="preserve">Budget Allocation (Total: ¥3.8 million)</w:t>
      </w:r>
    </w:p>
    <w:p>
      <w:pPr>
        <w:numPr>
          <w:ilvl w:val="0"/>
          <w:numId w:val="1007"/>
        </w:numPr>
        <w:pStyle w:val="Compact"/>
      </w:pPr>
      <w:r>
        <w:t xml:space="preserve">Technology (WeChat integration, telehealth): 35% - ¥1.33M</w:t>
      </w:r>
    </w:p>
    <w:p>
      <w:pPr>
        <w:numPr>
          <w:ilvl w:val="0"/>
          <w:numId w:val="1007"/>
        </w:numPr>
        <w:pStyle w:val="Compact"/>
      </w:pPr>
      <w:r>
        <w:t xml:space="preserve">Community Engagement &amp; Marketing: 40% - ¥1.52M</w:t>
      </w:r>
    </w:p>
    <w:p>
      <w:pPr>
        <w:numPr>
          <w:ilvl w:val="0"/>
          <w:numId w:val="1007"/>
        </w:numPr>
        <w:pStyle w:val="Compact"/>
      </w:pPr>
      <w:r>
        <w:t xml:space="preserve">Clinic Operations &amp; Staffing: 20% - ¥0.76M</w:t>
      </w:r>
    </w:p>
    <w:p>
      <w:pPr>
        <w:numPr>
          <w:ilvl w:val="0"/>
          <w:numId w:val="1007"/>
        </w:numPr>
        <w:pStyle w:val="Compact"/>
      </w:pPr>
      <w:r>
        <w:t xml:space="preserve">Compliance &amp; Partnerships (Guangzhou Health Bureau): 5% - ¥0.19M</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Monthly Patient Acquisition Cost:</w:t>
      </w:r>
      <w:r>
        <w:t xml:space="preserve"> </w:t>
      </w:r>
      <w:r>
        <w:t xml:space="preserve">Target: ≤¥180 (vs. industry avg. ¥250)</w:t>
      </w:r>
    </w:p>
    <w:p>
      <w:pPr>
        <w:numPr>
          <w:ilvl w:val="0"/>
          <w:numId w:val="1008"/>
        </w:numPr>
        <w:pStyle w:val="Compact"/>
      </w:pPr>
      <w:r>
        <w:rPr>
          <w:bCs/>
          <w:b/>
        </w:rPr>
        <w:t xml:space="preserve">Retention Rate:</w:t>
      </w:r>
      <w:r>
        <w:t xml:space="preserve"> </w:t>
      </w:r>
      <w:r>
        <w:t xml:space="preserve">Target: 75% after 6 months (vs. city avg. 45%)</w:t>
      </w:r>
    </w:p>
    <w:p>
      <w:pPr>
        <w:numPr>
          <w:ilvl w:val="0"/>
          <w:numId w:val="1008"/>
        </w:numPr>
        <w:pStyle w:val="Compact"/>
      </w:pPr>
      <w:r>
        <w:rPr>
          <w:bCs/>
          <w:b/>
        </w:rPr>
        <w:t xml:space="preserve">Social Impact Score:</w:t>
      </w:r>
      <w:r>
        <w:t xml:space="preserve"> </w:t>
      </w:r>
      <w:r>
        <w:t xml:space="preserve">Measured via Guangzhou Community Health Index (target: +20% in participating neighborhoods)</w:t>
      </w:r>
    </w:p>
    <w:bookmarkEnd w:id="30"/>
    <w:bookmarkStart w:id="31" w:name="Xf601764683fde9a022c37d0df68575b72297b9d"/>
    <w:p>
      <w:pPr>
        <w:pStyle w:val="Heading2"/>
      </w:pPr>
      <w:r>
        <w:t xml:space="preserve">Why This Marketing Plan Works for China Guangzhou</w:t>
      </w:r>
    </w:p>
    <w:p>
      <w:pPr>
        <w:pStyle w:val="FirstParagraph"/>
      </w:pPr>
      <w:r>
        <w:t xml:space="preserve">This Doctor General Practitioner Marketing Plan directly addresses Guangzhou's unique healthcare ecosystem. Unlike generic approaches, we've embedded cultural intelligence: using WeChat (not Facebook), integrating TCM (not Western-only care), and prioritizing community trust over transactional marketing. The focus on preventive care aligns with Guangzhou's municipal goals to reduce hospital overcrowding by 30% by 2025. Critically, our model solves the "last-mile" access problem in Guangzhou's rapidly expanding suburbs where public clinics are scarce.</w:t>
      </w:r>
    </w:p>
    <w:bookmarkEnd w:id="31"/>
    <w:bookmarkStart w:id="32" w:name="conclusion"/>
    <w:p>
      <w:pPr>
        <w:pStyle w:val="Heading2"/>
      </w:pPr>
      <w:r>
        <w:t xml:space="preserve">Conclusion</w:t>
      </w:r>
    </w:p>
    <w:p>
      <w:pPr>
        <w:pStyle w:val="FirstParagraph"/>
      </w:pPr>
      <w:r>
        <w:t xml:space="preserve">This Marketing Plan positions Doctor General Practitioner services as the essential healthcare solution for modern Guangzhou residents. By combining digital convenience with human-centered care rooted in local culture, we will transform how China Guangzhou approaches primary healthcare. Our data-driven strategy ensures sustainable growth while delivering measurable community health outcomes – turning patients into advocates and clinics into trusted neighborhood hubs. With 18 million potential patients awaiting accessible care, this initiative isn't just a business opportunity; it's a vital step toward Guangzhou's healthier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Services in China Guangzhou</dc:title>
  <dc:creator/>
  <dc:language>en</dc:language>
  <cp:keywords/>
  <dcterms:created xsi:type="dcterms:W3CDTF">2026-07-23T08:11:56Z</dcterms:created>
  <dcterms:modified xsi:type="dcterms:W3CDTF">2026-07-23T08:11:56Z</dcterms:modified>
</cp:coreProperties>
</file>

<file path=docProps/custom.xml><?xml version="1.0" encoding="utf-8"?>
<Properties xmlns="http://schemas.openxmlformats.org/officeDocument/2006/custom-properties" xmlns:vt="http://schemas.openxmlformats.org/officeDocument/2006/docPropsVTypes"/>
</file>