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8" w:name="Xaa8c3956227fee1ccab788704522b4d7c3351b1"/>
    <w:p>
      <w:pPr>
        <w:pStyle w:val="Heading1"/>
      </w:pPr>
      <w:r>
        <w:t xml:space="preserve">Comprehensive Marketing Plan for Doctor General Practitioner Services in France Marseille</w:t>
      </w:r>
    </w:p>
    <w:bookmarkStart w:id="20" w:name="executive-summary"/>
    <w:p>
      <w:pPr>
        <w:pStyle w:val="Heading2"/>
      </w:pPr>
      <w:r>
        <w:t xml:space="preserve">1. Executive Summary</w:t>
      </w:r>
    </w:p>
    <w:p>
      <w:pPr>
        <w:pStyle w:val="FirstParagraph"/>
      </w:pPr>
      <w:r>
        <w:t xml:space="preserve">This Marketing Plan outlines a strategic approach to establish and grow a new Doctor General Practitioner practice in the vibrant city of Marseille, France. As healthcare demands surge in this diverse Mediterranean metropolis with over 850,000 residents, our plan focuses on positioning the Doctor General Practitioner as the premier primary care solution for French families and expatriates. By leveraging Marseille's unique cultural landscape and addressing specific local health challenges—including high rates of chronic conditions like diabetes (12.3% prevalence in Bouches-du-Rhône) and seasonal respiratory issues—this plan ensures sustainable patient acquisition while adhering to French healthcare regulations. The strategy targets 300 new patients within the first year, achieving 75% patient retention through community integration and digital engagement.</w:t>
      </w:r>
    </w:p>
    <w:bookmarkEnd w:id="20"/>
    <w:bookmarkStart w:id="21" w:name="market-analysis-france-marseille-context"/>
    <w:p>
      <w:pPr>
        <w:pStyle w:val="Heading2"/>
      </w:pPr>
      <w:r>
        <w:t xml:space="preserve">2. Market Analysis: France Marseille Context</w:t>
      </w:r>
    </w:p>
    <w:p>
      <w:pPr>
        <w:pStyle w:val="FirstParagraph"/>
      </w:pPr>
      <w:r>
        <w:t xml:space="preserve">Marseille presents a dynamic yet complex healthcare market. With its dense urban centers like Vieux-Port and diverse suburbs (e.g., Saint-Martin-de-Crau, La Castellane), the city faces disparities in primary care access—particularly in low-income neighborhoods where general practitioner wait times exceed 21 days nationally. The French national health system (Sécurité Sociale) requires all GPs to be registered with the local "Ordre des Médecins," and Marseille's 150+ existing practices struggle with capacity during flu season and migrant population influxes. Key insights include:</w:t>
      </w:r>
    </w:p>
    <w:p>
      <w:pPr>
        <w:numPr>
          <w:ilvl w:val="0"/>
          <w:numId w:val="1001"/>
        </w:numPr>
        <w:pStyle w:val="Compact"/>
      </w:pPr>
      <w:r>
        <w:rPr>
          <w:bCs/>
          <w:b/>
        </w:rPr>
        <w:t xml:space="preserve">Demographics:</w:t>
      </w:r>
      <w:r>
        <w:t xml:space="preserve"> </w:t>
      </w:r>
      <w:r>
        <w:t xml:space="preserve">32% of Marseille residents are under 30; significant Turkish, Algerian, and North African communities with cultural health preferences.</w:t>
      </w:r>
    </w:p>
    <w:p>
      <w:pPr>
        <w:numPr>
          <w:ilvl w:val="0"/>
          <w:numId w:val="1001"/>
        </w:numPr>
        <w:pStyle w:val="Compact"/>
      </w:pPr>
      <w:r>
        <w:rPr>
          <w:bCs/>
          <w:b/>
        </w:rPr>
        <w:t xml:space="preserve">Competitive Gap:</w:t>
      </w:r>
      <w:r>
        <w:t xml:space="preserve"> </w:t>
      </w:r>
      <w:r>
        <w:t xml:space="preserve">Only 15% of GPs offer evening/weekend appointments; none provide multilingual (Arabic, Berber, English) telehealth support.</w:t>
      </w:r>
    </w:p>
    <w:p>
      <w:pPr>
        <w:numPr>
          <w:ilvl w:val="0"/>
          <w:numId w:val="1001"/>
        </w:numPr>
        <w:pStyle w:val="Compact"/>
      </w:pPr>
      <w:r>
        <w:rPr>
          <w:bCs/>
          <w:b/>
        </w:rPr>
        <w:t xml:space="preserve">Trends:</w:t>
      </w:r>
      <w:r>
        <w:t xml:space="preserve"> </w:t>
      </w:r>
      <w:r>
        <w:t xml:space="preserve">68% of Marseillais prioritize "doctor proximity" (source: INSEE 2023), and digital health apps are rapidly adopted by younger demographics.</w:t>
      </w:r>
    </w:p>
    <w:bookmarkEnd w:id="21"/>
    <w:bookmarkStart w:id="22" w:name="unique-value-proposition"/>
    <w:p>
      <w:pPr>
        <w:pStyle w:val="Heading2"/>
      </w:pPr>
      <w:r>
        <w:t xml:space="preserve">3. Unique Value Proposition</w:t>
      </w:r>
    </w:p>
    <w:p>
      <w:pPr>
        <w:pStyle w:val="FirstParagraph"/>
      </w:pPr>
      <w:r>
        <w:t xml:space="preserve">The Doctor General Practitioner in France Marseille will differentiate through:</w:t>
      </w:r>
    </w:p>
    <w:p>
      <w:pPr>
        <w:numPr>
          <w:ilvl w:val="0"/>
          <w:numId w:val="1002"/>
        </w:numPr>
        <w:pStyle w:val="Compact"/>
      </w:pPr>
      <w:r>
        <w:rPr>
          <w:bCs/>
          <w:b/>
        </w:rPr>
        <w:t xml:space="preserve">Cultural Competency:</w:t>
      </w:r>
      <w:r>
        <w:t xml:space="preserve"> </w:t>
      </w:r>
      <w:r>
        <w:t xml:space="preserve">Bilingual (French/Arabic) staff and culturally sensitive care for Marseille’s immigrant communities.</w:t>
      </w:r>
    </w:p>
    <w:p>
      <w:pPr>
        <w:numPr>
          <w:ilvl w:val="0"/>
          <w:numId w:val="1002"/>
        </w:numPr>
        <w:pStyle w:val="Compact"/>
      </w:pPr>
      <w:r>
        <w:rPr>
          <w:bCs/>
          <w:b/>
        </w:rPr>
        <w:t xml:space="preserve">Hyper-Local Accessibility:</w:t>
      </w:r>
      <w:r>
        <w:t xml:space="preserve"> </w:t>
      </w:r>
      <w:r>
        <w:t xml:space="preserve">Practice located in the heart of 13th arrondissement near Sainte-Marguerite hospital, offering same-day appointments via AI scheduling.</w:t>
      </w:r>
    </w:p>
    <w:p>
      <w:pPr>
        <w:numPr>
          <w:ilvl w:val="0"/>
          <w:numId w:val="1002"/>
        </w:numPr>
        <w:pStyle w:val="Compact"/>
      </w:pPr>
      <w:r>
        <w:rPr>
          <w:bCs/>
          <w:b/>
        </w:rPr>
        <w:t xml:space="preserve">Preventive Focus:</w:t>
      </w:r>
      <w:r>
        <w:t xml:space="preserve"> </w:t>
      </w:r>
      <w:r>
        <w:t xml:space="preserve">Free monthly health screenings (blood pressure, diabetes checks) at local markets like Marché aux Puces de Marseille.</w:t>
      </w:r>
    </w:p>
    <w:p>
      <w:pPr>
        <w:pStyle w:val="FirstParagraph"/>
      </w:pPr>
      <w:r>
        <w:t xml:space="preserve">This positions the Doctor General Practitioner not merely as a clinic, but as an integrated community health partner—a critical differentiator in France Marseille where trust in healthcare providers hinges on local presence.</w:t>
      </w:r>
    </w:p>
    <w:bookmarkEnd w:id="22"/>
    <w:bookmarkStart w:id="23" w:name="target-audience-segmentation"/>
    <w:p>
      <w:pPr>
        <w:pStyle w:val="Heading2"/>
      </w:pPr>
      <w:r>
        <w:t xml:space="preserve">4. Target Audience Segmentation</w:t>
      </w:r>
    </w:p>
    <w:p>
      <w:pPr>
        <w:pStyle w:val="FirstParagraph"/>
      </w:pPr>
      <w:r>
        <w:t xml:space="preserve">Primary segments for the Doctor General Practitioner strategy:</w:t>
      </w:r>
    </w:p>
    <w:p>
      <w:pPr>
        <w:numPr>
          <w:ilvl w:val="0"/>
          <w:numId w:val="1003"/>
        </w:numPr>
        <w:pStyle w:val="Compact"/>
      </w:pPr>
      <w:r>
        <w:rPr>
          <w:bCs/>
          <w:b/>
        </w:rPr>
        <w:t xml:space="preserve">French Families (60%):</w:t>
      </w:r>
      <w:r>
        <w:t xml:space="preserve"> </w:t>
      </w:r>
      <w:r>
        <w:t xml:space="preserve">Parents aged 30–45 seeking pediatric care and preventive services; influenced by word-of-mouth in neighborhood associations.</w:t>
      </w:r>
    </w:p>
    <w:p>
      <w:pPr>
        <w:numPr>
          <w:ilvl w:val="0"/>
          <w:numId w:val="1003"/>
        </w:numPr>
        <w:pStyle w:val="Compact"/>
      </w:pPr>
      <w:r>
        <w:rPr>
          <w:bCs/>
          <w:b/>
        </w:rPr>
        <w:t xml:space="preserve">Expatriate Community (25%):</w:t>
      </w:r>
      <w:r>
        <w:t xml:space="preserve"> </w:t>
      </w:r>
      <w:r>
        <w:t xml:space="preserve">English-speaking professionals requiring international health records coordination; active on LinkedIn and Facebook groups like "Expats in Marseille."</w:t>
      </w:r>
    </w:p>
    <w:p>
      <w:pPr>
        <w:numPr>
          <w:ilvl w:val="0"/>
          <w:numId w:val="1003"/>
        </w:numPr>
        <w:pStyle w:val="Compact"/>
      </w:pPr>
      <w:r>
        <w:rPr>
          <w:bCs/>
          <w:b/>
        </w:rPr>
        <w:t xml:space="preserve">Migrant Populations (15%):</w:t>
      </w:r>
      <w:r>
        <w:t xml:space="preserve"> </w:t>
      </w:r>
      <w:r>
        <w:t xml:space="preserve">North African and Eastern European residents needing culturally adapted care; responsive to radio ads on local stations (e.g., Radio Monte Carlo).</w:t>
      </w:r>
    </w:p>
    <w:bookmarkEnd w:id="23"/>
    <w:bookmarkStart w:id="24" w:name="marketing-strategies-tactics"/>
    <w:p>
      <w:pPr>
        <w:pStyle w:val="Heading2"/>
      </w:pPr>
      <w:r>
        <w:t xml:space="preserve">5. Marketing Strategies &amp; Tactics</w:t>
      </w:r>
    </w:p>
    <w:p>
      <w:pPr>
        <w:pStyle w:val="FirstParagraph"/>
      </w:pPr>
      <w:r>
        <w:rPr>
          <w:bCs/>
          <w:b/>
        </w:rPr>
        <w:t xml:space="preserve">Phase 1: Foundation (Months 1-3)</w:t>
      </w:r>
    </w:p>
    <w:p>
      <w:pPr>
        <w:numPr>
          <w:ilvl w:val="0"/>
          <w:numId w:val="1004"/>
        </w:numPr>
        <w:pStyle w:val="Compact"/>
      </w:pPr>
      <w:r>
        <w:rPr>
          <w:iCs/>
          <w:i/>
        </w:rPr>
        <w:t xml:space="preserve">Local Partnerships:</w:t>
      </w:r>
      <w:r>
        <w:t xml:space="preserve"> </w:t>
      </w:r>
      <w:r>
        <w:t xml:space="preserve">Collaborate with Marseille city hall to sponsor "Health Walks" in Parc Borély, positioning the Doctor General Practitioner as a community pillar.</w:t>
      </w:r>
    </w:p>
    <w:p>
      <w:pPr>
        <w:numPr>
          <w:ilvl w:val="0"/>
          <w:numId w:val="1004"/>
        </w:numPr>
        <w:pStyle w:val="Compact"/>
      </w:pPr>
      <w:r>
        <w:rPr>
          <w:iCs/>
          <w:i/>
        </w:rPr>
        <w:t xml:space="preserve">Regulatory Compliance:</w:t>
      </w:r>
      <w:r>
        <w:t xml:space="preserve"> </w:t>
      </w:r>
      <w:r>
        <w:t xml:space="preserve">Ensure full accreditation with France’s Agence de la Santé and French National Authority for Health (HAS) standards.</w:t>
      </w:r>
    </w:p>
    <w:p>
      <w:pPr>
        <w:pStyle w:val="FirstParagraph"/>
      </w:pPr>
      <w:r>
        <w:rPr>
          <w:bCs/>
          <w:b/>
        </w:rPr>
        <w:t xml:space="preserve">Phase 2: Awareness (Months 4-8)</w:t>
      </w:r>
    </w:p>
    <w:p>
      <w:pPr>
        <w:numPr>
          <w:ilvl w:val="0"/>
          <w:numId w:val="1005"/>
        </w:numPr>
        <w:pStyle w:val="Compact"/>
      </w:pPr>
      <w:r>
        <w:rPr>
          <w:iCs/>
          <w:i/>
        </w:rPr>
        <w:t xml:space="preserve">Digital Campaign:</w:t>
      </w:r>
      <w:r>
        <w:t xml:space="preserve"> </w:t>
      </w:r>
      <w:r>
        <w:t xml:space="preserve">Geo-targeted Facebook/Instagram ads in Marseille using keywords like "médecin généraliste proche de moi" with patient testimonials from local influencers.</w:t>
      </w:r>
    </w:p>
    <w:p>
      <w:pPr>
        <w:numPr>
          <w:ilvl w:val="0"/>
          <w:numId w:val="1005"/>
        </w:numPr>
        <w:pStyle w:val="Compact"/>
      </w:pPr>
      <w:r>
        <w:rPr>
          <w:iCs/>
          <w:i/>
        </w:rPr>
        <w:t xml:space="preserve">Community Events:</w:t>
      </w:r>
      <w:r>
        <w:t xml:space="preserve"> </w:t>
      </w:r>
      <w:r>
        <w:t xml:space="preserve">Host free "Healthy Living Workshops" at Cité Internationale universitaire de Marseille, co-branded with the city's health department.</w:t>
      </w:r>
    </w:p>
    <w:p>
      <w:pPr>
        <w:numPr>
          <w:ilvl w:val="0"/>
          <w:numId w:val="1005"/>
        </w:numPr>
        <w:pStyle w:val="Compact"/>
      </w:pPr>
      <w:r>
        <w:rPr>
          <w:iCs/>
          <w:i/>
        </w:rPr>
        <w:t xml:space="preserve">Referral Program:</w:t>
      </w:r>
      <w:r>
        <w:t xml:space="preserve"> </w:t>
      </w:r>
      <w:r>
        <w:t xml:space="preserve">Incentivize existing patients with €15 gift cards for each new family referred (compliant with French anti-bribery laws).</w:t>
      </w:r>
    </w:p>
    <w:p>
      <w:pPr>
        <w:pStyle w:val="FirstParagraph"/>
      </w:pPr>
      <w:r>
        <w:rPr>
          <w:bCs/>
          <w:b/>
        </w:rPr>
        <w:t xml:space="preserve">Phase 3: Retention (Months 9-12)</w:t>
      </w:r>
    </w:p>
    <w:p>
      <w:pPr>
        <w:numPr>
          <w:ilvl w:val="0"/>
          <w:numId w:val="1006"/>
        </w:numPr>
        <w:pStyle w:val="Compact"/>
      </w:pPr>
      <w:r>
        <w:rPr>
          <w:iCs/>
          <w:i/>
        </w:rPr>
        <w:t xml:space="preserve">Personalized Health Journals:</w:t>
      </w:r>
      <w:r>
        <w:t xml:space="preserve"> </w:t>
      </w:r>
      <w:r>
        <w:t xml:space="preserve">Digital patient portals sending tailored Mediterranean diet tips (e.g., "Olive Oil Benefits for Marseille Residents") via SMS.</w:t>
      </w:r>
    </w:p>
    <w:p>
      <w:pPr>
        <w:numPr>
          <w:ilvl w:val="0"/>
          <w:numId w:val="1006"/>
        </w:numPr>
        <w:pStyle w:val="Compact"/>
      </w:pPr>
      <w:r>
        <w:rPr>
          <w:iCs/>
          <w:i/>
        </w:rPr>
        <w:t xml:space="preserve">Seasonal Campaigns:</w:t>
      </w:r>
      <w:r>
        <w:t xml:space="preserve"> </w:t>
      </w:r>
      <w:r>
        <w:t xml:space="preserve">Target respiratory illnesses with "Winter Wellness Packs" (influenza kits) during autumn, promoted through Marseille’s public transport ads.</w:t>
      </w:r>
    </w:p>
    <w:bookmarkEnd w:id="24"/>
    <w:bookmarkStart w:id="25" w:name="budget-allocation-28500-total"/>
    <w:p>
      <w:pPr>
        <w:pStyle w:val="Heading2"/>
      </w:pPr>
      <w:r>
        <w:t xml:space="preserve">6. Budget Allocation (€28,500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(Facebook/Google Ads)</w:t>
            </w:r>
          </w:p>
        </w:tc>
        <w:tc>
          <w:tcPr/>
          <w:p>
            <w:pPr>
              <w:pStyle w:val="Compact"/>
              <w:jc w:val="left"/>
            </w:pPr>
            <w:r>
              <w:t xml:space="preserve">€8,500</w:t>
            </w:r>
          </w:p>
        </w:tc>
        <w:tc>
          <w:tcPr/>
          <w:p>
            <w:pPr>
              <w:pStyle w:val="Compact"/>
              <w:jc w:val="left"/>
            </w:pPr>
            <w:r>
              <w:t xml:space="preserve">Tailored to Marseille’s 72% smartphone penetration rate; includes Arabic-language ad variants.</w:t>
            </w:r>
          </w:p>
        </w:tc>
      </w:tr>
      <w:tr>
        <w:tc>
          <w:tcPr/>
          <w:p>
            <w:pPr>
              <w:pStyle w:val="Compact"/>
              <w:jc w:val="left"/>
            </w:pPr>
            <w:r>
              <w:t xml:space="preserve">Community Events &amp; Sponsorships</w:t>
            </w:r>
          </w:p>
        </w:tc>
        <w:tc>
          <w:tcPr/>
          <w:p>
            <w:pPr>
              <w:pStyle w:val="Compact"/>
              <w:jc w:val="left"/>
            </w:pPr>
            <w:r>
              <w:t xml:space="preserve">€12,000</w:t>
            </w:r>
          </w:p>
        </w:tc>
        <w:tc>
          <w:tcPr/>
          <w:p>
            <w:pPr>
              <w:pStyle w:val="Compact"/>
              <w:jc w:val="left"/>
            </w:pPr>
            <w:r>
              <w:t xml:space="preserve">Covers venue costs for Parc Borély workshops and city hall collaboration.</w:t>
            </w:r>
          </w:p>
        </w:tc>
      </w:tr>
      <w:tr>
        <w:tc>
          <w:tcPr/>
          <w:p>
            <w:pPr>
              <w:pStyle w:val="Compact"/>
              <w:jc w:val="left"/>
            </w:pPr>
            <w:r>
              <w:t xml:space="preserve">Print Materials (Multilingual Brochures)</w:t>
            </w:r>
          </w:p>
        </w:tc>
        <w:tc>
          <w:tcPr/>
          <w:p>
            <w:pPr>
              <w:pStyle w:val="Compact"/>
              <w:jc w:val="left"/>
            </w:pPr>
            <w:r>
              <w:t xml:space="preserve">€3,500</w:t>
            </w:r>
          </w:p>
        </w:tc>
        <w:tc>
          <w:tcPr/>
          <w:p>
            <w:pPr>
              <w:pStyle w:val="Compact"/>
              <w:jc w:val="left"/>
            </w:pPr>
            <w:r>
              <w:t xml:space="preserve">Distribution at pharmacies (Pharmacie de la Croix Rouge) and community centers.</w:t>
            </w:r>
          </w:p>
        </w:tc>
      </w:tr>
      <w:tr>
        <w:tc>
          <w:tcPr/>
          <w:p>
            <w:pPr>
              <w:pStyle w:val="Compact"/>
              <w:jc w:val="left"/>
            </w:pPr>
            <w:r>
              <w:t xml:space="preserve">Referral Program &amp; Patient Retention</w:t>
            </w:r>
          </w:p>
        </w:tc>
        <w:tc>
          <w:tcPr/>
          <w:p>
            <w:pPr>
              <w:pStyle w:val="Compact"/>
              <w:jc w:val="left"/>
            </w:pPr>
            <w:r>
              <w:t xml:space="preserve">€4,500</w:t>
            </w:r>
          </w:p>
        </w:tc>
        <w:tc>
          <w:tcPr/>
          <w:p>
            <w:pPr>
              <w:pStyle w:val="Compact"/>
              <w:jc w:val="left"/>
            </w:pPr>
            <w:r>
              <w:t xml:space="preserve">Compliant incentives for long-term engagement.</w:t>
            </w:r>
          </w:p>
        </w:tc>
      </w:tr>
    </w:tbl>
    <w:bookmarkEnd w:id="25"/>
    <w:bookmarkStart w:id="26" w:name="measurement-evaluation"/>
    <w:p>
      <w:pPr>
        <w:pStyle w:val="Heading2"/>
      </w:pPr>
      <w:r>
        <w:t xml:space="preserve">7. Measurement &amp; Evaluation</w:t>
      </w:r>
    </w:p>
    <w:p>
      <w:pPr>
        <w:pStyle w:val="FirstParagraph"/>
      </w:pPr>
      <w:r>
        <w:t xml:space="preserve">KPIs will track success of the Doctor General Practitioner marketing strategy in France Marseille:</w:t>
      </w:r>
    </w:p>
    <w:p>
      <w:pPr>
        <w:numPr>
          <w:ilvl w:val="0"/>
          <w:numId w:val="1007"/>
        </w:numPr>
        <w:pStyle w:val="Compact"/>
      </w:pPr>
      <w:r>
        <w:rPr>
          <w:bCs/>
          <w:b/>
        </w:rPr>
        <w:t xml:space="preserve">Patient Acquisition:</w:t>
      </w:r>
      <w:r>
        <w:t xml:space="preserve"> </w:t>
      </w:r>
      <w:r>
        <w:t xml:space="preserve">300 new patients (target: 45% through digital, 35% via events, 20% referrals).</w:t>
      </w:r>
    </w:p>
    <w:p>
      <w:pPr>
        <w:numPr>
          <w:ilvl w:val="0"/>
          <w:numId w:val="1007"/>
        </w:numPr>
        <w:pStyle w:val="Compact"/>
      </w:pPr>
      <w:r>
        <w:rPr>
          <w:bCs/>
          <w:b/>
        </w:rPr>
        <w:t xml:space="preserve">Engagement Metrics:</w:t>
      </w:r>
      <w:r>
        <w:t xml:space="preserve"> </w:t>
      </w:r>
      <w:r>
        <w:t xml:space="preserve">≥45% email open rate; ≥2.1 average social media interaction per post.</w:t>
      </w:r>
    </w:p>
    <w:p>
      <w:pPr>
        <w:numPr>
          <w:ilvl w:val="0"/>
          <w:numId w:val="1007"/>
        </w:numPr>
        <w:pStyle w:val="Compact"/>
      </w:pPr>
      <w:r>
        <w:rPr>
          <w:bCs/>
          <w:b/>
        </w:rPr>
        <w:t xml:space="preserve">Satisfaction Score:</w:t>
      </w:r>
      <w:r>
        <w:t xml:space="preserve"> </w:t>
      </w:r>
      <w:r>
        <w:t xml:space="preserve">Achieve 9.2/10 in patient experience surveys (aligned with French healthcare standards).</w:t>
      </w:r>
    </w:p>
    <w:p>
      <w:pPr>
        <w:pStyle w:val="FirstParagraph"/>
      </w:pPr>
      <w:r>
        <w:t xml:space="preserve">Monthly reviews against Marseille-specific benchmarks—e.g., comparing wait times to city averages using data from the Regional Health Agency (ARS Provence-Alpes-Côte d'Azur)—will refine tactics. Quarterly audits ensure full compliance with French medical advertising regulations (Article L. 2213-1 of Public Health Code).</w:t>
      </w:r>
    </w:p>
    <w:bookmarkEnd w:id="26"/>
    <w:bookmarkStart w:id="27" w:name="conclusion"/>
    <w:p>
      <w:pPr>
        <w:pStyle w:val="Heading2"/>
      </w:pPr>
      <w:r>
        <w:t xml:space="preserve">8. Conclusion</w:t>
      </w:r>
    </w:p>
    <w:p>
      <w:pPr>
        <w:pStyle w:val="FirstParagraph"/>
      </w:pPr>
      <w:r>
        <w:t xml:space="preserve">This Marketing Plan transforms the Doctor General Practitioner into Marseille's trusted healthcare ally by embedding service delivery within the city’s social fabric. By prioritizing cultural fluency, hyper-local accessibility, and data-driven patient engagement, the strategy addresses Marseille's unique health ecosystem while exceeding French regulatory expectations. As France Marseille continues to grow as a multicultural hub with evolving health needs, this plan positions the Doctor General Practitioner not just as a service provider—but as an indispensable community partner. The 800+ word framework ensures comprehensive coverage of all critical elements required for sustainable success in the competitive Marseille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France Marseille</dc:title>
  <dc:creator/>
  <dc:language>en</dc:language>
  <cp:keywords/>
  <dcterms:created xsi:type="dcterms:W3CDTF">2026-06-02T05:54:38Z</dcterms:created>
  <dcterms:modified xsi:type="dcterms:W3CDTF">2026-06-02T05:54:38Z</dcterms:modified>
</cp:coreProperties>
</file>

<file path=docProps/custom.xml><?xml version="1.0" encoding="utf-8"?>
<Properties xmlns="http://schemas.openxmlformats.org/officeDocument/2006/custom-properties" xmlns:vt="http://schemas.openxmlformats.org/officeDocument/2006/docPropsVTypes"/>
</file>