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p>
    <w:bookmarkStart w:id="31" w:name="Xe8e5acd10c2e89b2319e50c0a7349bc9c5a5f4a"/>
    <w:p>
      <w:pPr>
        <w:pStyle w:val="Heading1"/>
      </w:pPr>
      <w:r>
        <w:t xml:space="preserve">Comprehensive Marketing Plan for a Doctor General Practitioner Practice in Iran Tehran</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primary care practice led by an experienced Doctor General Practitioner (GP) within the dynamic healthcare landscape of Iran Tehran. Recognizing the unique challenges and opportunities in Tehran's densely populated urban environment, this plan prioritizes building trust, leveraging technology, and delivering patient-centered care to position our Doctor General Practitioner as a cornerstone of community health. With over 14 million residents facing rising chronic disease burdens and fragmented healthcare access, our strategy focuses on creating a reliable private practice that complements public services while adhering strictly to Iran's healthcare regulations and cultural values. The core mission is to become the preferred Doctor General Practitioner for families across Tehran through exceptional service, preventive care emphasis, and seamless digital integration.</w:t>
      </w:r>
    </w:p>
    <w:bookmarkEnd w:id="20"/>
    <w:bookmarkStart w:id="21" w:name="X098d4c738bf65569607d1c97a43817f8e18fa9f"/>
    <w:p>
      <w:pPr>
        <w:pStyle w:val="Heading2"/>
      </w:pPr>
      <w:r>
        <w:t xml:space="preserve">Market Analysis: Iran Tehran Healthcare Context</w:t>
      </w:r>
    </w:p>
    <w:p>
      <w:pPr>
        <w:pStyle w:val="FirstParagraph"/>
      </w:pPr>
      <w:r>
        <w:t xml:space="preserve">Tehran presents a complex healthcare market characterized by high demand for accessible primary care. The city's population density strains public facilities, leading to long wait times at government clinics—a key pain point our Doctor General Practitioner practice addresses directly. According to the Ministry of Health (2023), Tehran has one of Iran's highest incidences of hypertension and diabetes, requiring consistent GP oversight. Simultaneously, growing middle-class families increasingly seek private healthcare options that offer personalized attention and shorter appointment windows.</w:t>
      </w:r>
    </w:p>
    <w:p>
      <w:pPr>
        <w:pStyle w:val="BodyText"/>
      </w:pPr>
      <w:r>
        <w:t xml:space="preserve">Key competitors include established clinics like "Tehran General Clinic" (offering routine care but lacking digital tools) and individual GPs in affluent districts such as Shemiran or Niavaran. However, a significant gap exists in comprehensive, technology-integrated GP services catering to diverse Tehran neighborhoods beyond the immediate city center. The rise of telemedicine platforms in Iran provides an opportunity for our Doctor General Practitioner practice to lead through secure virtual consultations, addressing geographic barriers common across Tehran's sprawling districts.</w:t>
      </w:r>
    </w:p>
    <w:bookmarkEnd w:id="21"/>
    <w:bookmarkStart w:id="22" w:name="target-audience-definition"/>
    <w:p>
      <w:pPr>
        <w:pStyle w:val="Heading2"/>
      </w:pPr>
      <w:r>
        <w:t xml:space="preserve">Target Audience Definition</w:t>
      </w:r>
    </w:p>
    <w:p>
      <w:pPr>
        <w:pStyle w:val="FirstParagraph"/>
      </w:pPr>
      <w:r>
        <w:t xml:space="preserve">Our primary target comprises health-conscious families and professionals aged 30–55 residing in central and western Tehran districts (e.g., Valiasr Street, Evin, Velenjak). This group prioritizes preventive care, values time efficiency (seeking same-day appointments), and possesses moderate to high disposable income for private healthcare. Secondary targets include expatriate communities near international business hubs like Narmak and government employees seeking reliable alternatives to public clinics. Crucially, all marketing efforts must resonate with Iranian cultural norms emphasizing respect for medical authority, family-oriented care decisions, and trust in local expertise—core attributes our Doctor General Practitioner embodies.</w:t>
      </w:r>
    </w:p>
    <w:bookmarkEnd w:id="22"/>
    <w:bookmarkStart w:id="23" w:name="positioning-strategy"/>
    <w:p>
      <w:pPr>
        <w:pStyle w:val="Heading2"/>
      </w:pPr>
      <w:r>
        <w:t xml:space="preserve">Positioning Strategy</w:t>
      </w:r>
    </w:p>
    <w:p>
      <w:pPr>
        <w:pStyle w:val="FirstParagraph"/>
      </w:pPr>
      <w:r>
        <w:t xml:space="preserve">We position the Doctor General Practitioner as "Your Trusted Partner in Preventive Health for Tehran Families." This positioning differentiates us through:</w:t>
      </w:r>
    </w:p>
    <w:p>
      <w:pPr>
        <w:numPr>
          <w:ilvl w:val="0"/>
          <w:numId w:val="1001"/>
        </w:numPr>
        <w:pStyle w:val="Compact"/>
      </w:pPr>
      <w:r>
        <w:rPr>
          <w:bCs/>
          <w:b/>
        </w:rPr>
        <w:t xml:space="preserve">Comprehensive Primary Care:</w:t>
      </w:r>
      <w:r>
        <w:t xml:space="preserve"> </w:t>
      </w:r>
      <w:r>
        <w:t xml:space="preserve">Beyond basic check-ups, offering integrated services (diabetes management, pediatric care, women’s health) under one roof.</w:t>
      </w:r>
    </w:p>
    <w:p>
      <w:pPr>
        <w:numPr>
          <w:ilvl w:val="0"/>
          <w:numId w:val="1001"/>
        </w:numPr>
        <w:pStyle w:val="Compact"/>
      </w:pPr>
      <w:r>
        <w:rPr>
          <w:bCs/>
          <w:b/>
        </w:rPr>
        <w:t xml:space="preserve">Digital Convenience:</w:t>
      </w:r>
      <w:r>
        <w:t xml:space="preserve"> </w:t>
      </w:r>
      <w:r>
        <w:t xml:space="preserve">Tehran-specific telemedicine via the local app "Dokhtar" (approved by Iran’s Ministry of Health), enabling virtual consultations for follow-ups and minor issues.</w:t>
      </w:r>
    </w:p>
    <w:p>
      <w:pPr>
        <w:numPr>
          <w:ilvl w:val="0"/>
          <w:numId w:val="1001"/>
        </w:numPr>
        <w:pStyle w:val="Compact"/>
      </w:pPr>
      <w:r>
        <w:rPr>
          <w:bCs/>
          <w:b/>
        </w:rPr>
        <w:t xml:space="preserve">Community Integration:</w:t>
      </w:r>
      <w:r>
        <w:t xml:space="preserve"> </w:t>
      </w:r>
      <w:r>
        <w:t xml:space="preserve">Partnering with Tehran-based NGOs for free health screenings in neighborhoods like Shahrak-e Gharb, building grassroots trust.</w:t>
      </w:r>
    </w:p>
    <w:bookmarkEnd w:id="23"/>
    <w:bookmarkStart w:id="28" w:name="marketing-mix-4ps-strategy"/>
    <w:p>
      <w:pPr>
        <w:pStyle w:val="Heading2"/>
      </w:pPr>
      <w:r>
        <w:t xml:space="preserve">Marketing Mix (4Ps) Strategy</w:t>
      </w:r>
    </w:p>
    <w:bookmarkStart w:id="24" w:name="X9bdaf7a77e20568e178ddfcd24fe9e6bffe47b4"/>
    <w:p>
      <w:pPr>
        <w:pStyle w:val="Heading3"/>
      </w:pPr>
      <w:r>
        <w:t xml:space="preserve">Product: Doctor General Practitioner Service Portfolio</w:t>
      </w:r>
    </w:p>
    <w:p>
      <w:pPr>
        <w:pStyle w:val="FirstParagraph"/>
      </w:pPr>
      <w:r>
        <w:t xml:space="preserve">The core offering is personalized primary care led by our Doctor General Practitioner. We develop tiered packages:</w:t>
      </w:r>
    </w:p>
    <w:p>
      <w:pPr>
        <w:numPr>
          <w:ilvl w:val="0"/>
          <w:numId w:val="1002"/>
        </w:numPr>
        <w:pStyle w:val="Compact"/>
      </w:pPr>
      <w:r>
        <w:rPr>
          <w:iCs/>
          <w:i/>
        </w:rPr>
        <w:t xml:space="preserve">Essential Family Package (Toman 150,000/month):</w:t>
      </w:r>
      <w:r>
        <w:t xml:space="preserve"> </w:t>
      </w:r>
      <w:r>
        <w:t xml:space="preserve">Routine check-ups, basic lab referrals, access to virtual consultations.</w:t>
      </w:r>
    </w:p>
    <w:p>
      <w:pPr>
        <w:numPr>
          <w:ilvl w:val="0"/>
          <w:numId w:val="1002"/>
        </w:numPr>
        <w:pStyle w:val="Compact"/>
      </w:pPr>
      <w:r>
        <w:rPr>
          <w:iCs/>
          <w:i/>
        </w:rPr>
        <w:t xml:space="preserve">Premium Wellness Package (Toman 350,000/month):</w:t>
      </w:r>
      <w:r>
        <w:t xml:space="preserve"> </w:t>
      </w:r>
      <w:r>
        <w:t xml:space="preserve">Includes nutritional counseling, stress management workshops hosted at our Tehran clinic (in collaboration with local nutritionists), and priority booking.</w:t>
      </w:r>
    </w:p>
    <w:p>
      <w:pPr>
        <w:pStyle w:val="FirstParagraph"/>
      </w:pPr>
      <w:r>
        <w:t xml:space="preserve">All services strictly comply with Iran’s healthcare protocols and emphasize preventive care—critical for Tehran’s high-risk population.</w:t>
      </w:r>
    </w:p>
    <w:bookmarkEnd w:id="24"/>
    <w:bookmarkStart w:id="25" w:name="price-value-based-pricing-in-iran-tehran"/>
    <w:p>
      <w:pPr>
        <w:pStyle w:val="Heading3"/>
      </w:pPr>
      <w:r>
        <w:t xml:space="preserve">Price: Value-Based Pricing in Iran Tehran</w:t>
      </w:r>
    </w:p>
    <w:p>
      <w:pPr>
        <w:pStyle w:val="FirstParagraph"/>
      </w:pPr>
      <w:r>
        <w:t xml:space="preserve">Pricing aligns with Tehran's market rates while reflecting added value. The Essential Package is 15% lower than competitors to attract first-time patients, with the Premium Package offering clear ROI through reduced long-term hospital visits. We integrate seamlessly with Iran’s national health insurance scheme (Tamin-e-Salam), accepting coverage for eligible services to broaden accessibility across Tehran socioeconomic groups.</w:t>
      </w:r>
    </w:p>
    <w:bookmarkEnd w:id="25"/>
    <w:bookmarkStart w:id="26" w:name="place-strategic-location-and-access"/>
    <w:p>
      <w:pPr>
        <w:pStyle w:val="Heading3"/>
      </w:pPr>
      <w:r>
        <w:t xml:space="preserve">Place: Strategic Location and Access</w:t>
      </w:r>
    </w:p>
    <w:p>
      <w:pPr>
        <w:pStyle w:val="FirstParagraph"/>
      </w:pPr>
      <w:r>
        <w:t xml:space="preserve">The practice is established in a central, accessible location near Tehran’s Valiasr Street metro station—ensuring easy reach for residents from multiple districts. We optimize physical space with private consultation rooms and a digital check-in kiosk to minimize waiting times. Virtual access via Dokhtar app ensures the Doctor General Practitioner serves patients across all Tehran areas without geographic limitation.</w:t>
      </w:r>
    </w:p>
    <w:bookmarkEnd w:id="26"/>
    <w:bookmarkStart w:id="27" w:name="promotion-culturally-aligned-outreach"/>
    <w:p>
      <w:pPr>
        <w:pStyle w:val="Heading3"/>
      </w:pPr>
      <w:r>
        <w:t xml:space="preserve">Promotion: Culturally Aligned Outreach</w:t>
      </w:r>
    </w:p>
    <w:p>
      <w:pPr>
        <w:pStyle w:val="FirstParagraph"/>
      </w:pPr>
      <w:r>
        <w:t xml:space="preserve">Promotion leverages trusted Tehran channels:</w:t>
      </w:r>
    </w:p>
    <w:p>
      <w:pPr>
        <w:numPr>
          <w:ilvl w:val="0"/>
          <w:numId w:val="1003"/>
        </w:numPr>
        <w:pStyle w:val="Compact"/>
      </w:pPr>
      <w:r>
        <w:rPr>
          <w:iCs/>
          <w:i/>
        </w:rPr>
        <w:t xml:space="preserve">Community Engagement:</w:t>
      </w:r>
      <w:r>
        <w:t xml:space="preserve"> </w:t>
      </w:r>
      <w:r>
        <w:t xml:space="preserve">Free monthly health talks at public libraries in Shemiran and Rey, featuring the Doctor General Practitioner discussing local concerns (e.g., "Managing Diabetes in Tehran’s Air Quality Conditions").</w:t>
      </w:r>
    </w:p>
    <w:p>
      <w:pPr>
        <w:numPr>
          <w:ilvl w:val="0"/>
          <w:numId w:val="1003"/>
        </w:numPr>
        <w:pStyle w:val="Compact"/>
      </w:pPr>
      <w:r>
        <w:rPr>
          <w:iCs/>
          <w:i/>
        </w:rPr>
        <w:t xml:space="preserve">Digital Campaigns:</w:t>
      </w:r>
      <w:r>
        <w:t xml:space="preserve"> </w:t>
      </w:r>
      <w:r>
        <w:t xml:space="preserve">Targeted Instagram/Facebook ads using Persian-language content highlighting patient testimonials from Tehran residents. Collaborations with popular local health influencers (e.g., @TehranWellness) to showcase the Doctor General Practitioner’s approach.</w:t>
      </w:r>
    </w:p>
    <w:p>
      <w:pPr>
        <w:numPr>
          <w:ilvl w:val="0"/>
          <w:numId w:val="1003"/>
        </w:numPr>
        <w:pStyle w:val="Compact"/>
      </w:pPr>
      <w:r>
        <w:rPr>
          <w:iCs/>
          <w:i/>
        </w:rPr>
        <w:t xml:space="preserve">Referral Partnerships:</w:t>
      </w:r>
      <w:r>
        <w:t xml:space="preserve"> </w:t>
      </w:r>
      <w:r>
        <w:t xml:space="preserve">Strategic alliances with Tehran-based pharmacies (like Kermani Pharmacies) and fitness centers for co-branded wellness initiatives.</w:t>
      </w:r>
    </w:p>
    <w:bookmarkEnd w:id="27"/>
    <w:bookmarkEnd w:id="28"/>
    <w:bookmarkStart w:id="29" w:name="implementation-timeline-metrics"/>
    <w:p>
      <w:pPr>
        <w:pStyle w:val="Heading2"/>
      </w:pPr>
      <w:r>
        <w:t xml:space="preserve">Implementation Timeline &amp; Metrics</w:t>
      </w:r>
    </w:p>
    <w:p>
      <w:pPr>
        <w:pStyle w:val="FirstParagraph"/>
      </w:pPr>
      <w:r>
        <w:t xml:space="preserve">The first 6 months focus on brand launch: establishing clinic infrastructure, training staff in Iran’s healthcare standards, and executing community health events. By Month 4, we target 150 active patients via referral partnerships. Key success metrics include:</w:t>
      </w:r>
    </w:p>
    <w:p>
      <w:pPr>
        <w:numPr>
          <w:ilvl w:val="0"/>
          <w:numId w:val="1004"/>
        </w:numPr>
        <w:pStyle w:val="Compact"/>
      </w:pPr>
      <w:r>
        <w:t xml:space="preserve">30% patient retention rate by Month 6</w:t>
      </w:r>
    </w:p>
    <w:p>
      <w:pPr>
        <w:numPr>
          <w:ilvl w:val="0"/>
          <w:numId w:val="1004"/>
        </w:numPr>
        <w:pStyle w:val="Compact"/>
      </w:pPr>
      <w:r>
        <w:t xml:space="preserve">20% growth in virtual consultations (Dokhtar app usage)</w:t>
      </w:r>
    </w:p>
    <w:p>
      <w:pPr>
        <w:numPr>
          <w:ilvl w:val="0"/>
          <w:numId w:val="1004"/>
        </w:numPr>
        <w:pStyle w:val="Compact"/>
      </w:pPr>
      <w:r>
        <w:t xml:space="preserve">Positive sentiment scores of 4.5+/5 on Tehran-focused review platforms (e.g., Digikala Health)</w:t>
      </w:r>
    </w:p>
    <w:bookmarkEnd w:id="29"/>
    <w:bookmarkStart w:id="30" w:name="X645a1c40b80f9d645a1214c35edeb1ea47d670e"/>
    <w:p>
      <w:pPr>
        <w:pStyle w:val="Heading2"/>
      </w:pPr>
      <w:r>
        <w:t xml:space="preserve">Conclusion: A Sustainable Vision for Iran Tehran</w:t>
      </w:r>
    </w:p>
    <w:p>
      <w:pPr>
        <w:pStyle w:val="FirstParagraph"/>
      </w:pPr>
      <w:r>
        <w:t xml:space="preserve">This Marketing Plan positions the Doctor General Practitioner as an indispensable asset in Iran’s healthcare ecosystem, specifically tailored to the needs of Tehran's residents. By prioritizing community trust, regulatory compliance, and innovative digital tools within Tehran's unique context, our practice will not only achieve commercial success but also contribute meaningfully to public health outcomes. As a leading Doctor General Practitioner in Tehran, we commit to delivering care that honors Iranian values while embracing modern solutions—proving that exceptional primary care is both accessible and transformative for families across the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Iran Tehran</dc:title>
  <dc:creator/>
  <dc:language>en</dc:language>
  <cp:keywords/>
  <dcterms:created xsi:type="dcterms:W3CDTF">2025-12-13T05:29:03Z</dcterms:created>
  <dcterms:modified xsi:type="dcterms:W3CDTF">2025-12-13T05:29:03Z</dcterms:modified>
</cp:coreProperties>
</file>

<file path=docProps/custom.xml><?xml version="1.0" encoding="utf-8"?>
<Properties xmlns="http://schemas.openxmlformats.org/officeDocument/2006/custom-properties" xmlns:vt="http://schemas.openxmlformats.org/officeDocument/2006/docPropsVTypes"/>
</file>