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0" w:name="X70ceb8899b6b6576d845eee6ba7f2efd130181e"/>
    <w:p>
      <w:pPr>
        <w:pStyle w:val="Heading1"/>
      </w:pPr>
      <w:r>
        <w:t xml:space="preserve">Comprehensive Marketing Plan for Doctor General Practitioner Practice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a premium General Practitioner (GP) practice in Tel Aviv, Israel. Targeting the dynamic urban population of one of Israel's most vibrant cities, this plan leverages Tel Aviv's unique healthcare landscape—where 90% of residents utilize private medical services alongside the national health system—to position our Doctor General Practitioner as the premier choice for accessible, high-quality primary care. With Tel Aviv's population density (over 400,000 residents within city limits) and growing demand for personalized healthcare, this initiative will capture market share through digital engagement, community integration, and culturally attuned service delivery. The plan projects 35% patient acquisition growth within the first year and establishes a sustainable practice model aligned with Israeli healthcare norms.</w:t>
      </w:r>
    </w:p>
    <w:bookmarkEnd w:id="20"/>
    <w:bookmarkStart w:id="21" w:name="X85bf93bafbfbe72abdc340276b7fb63b6ff408c"/>
    <w:p>
      <w:pPr>
        <w:pStyle w:val="Heading2"/>
      </w:pPr>
      <w:r>
        <w:t xml:space="preserve">Market Analysis: Tel Aviv Healthcare Landscape</w:t>
      </w:r>
    </w:p>
    <w:p>
      <w:pPr>
        <w:pStyle w:val="FirstParagraph"/>
      </w:pPr>
      <w:r>
        <w:t xml:space="preserve">Tel Aviv presents an ideal market for a specialized General Practitioner practice due to its high population density, affluent demographics, and healthcare consumption patterns. The city’s residents exhibit strong health awareness—68% actively seek preventive care (Israel Ministry of Health, 2023)—with a notable gap in personalized primary care services. While Tel Aviv has numerous clinics, few combine medical excellence with seamless digital integration and Hebrew/English bilingual support, which is critical for both local Israelis and the city’s large expatriate community (over 15% of Tel Aviv residents). Competitors often lack modern patient portals or fail to address cultural nuances in Israeli healthcare expectations. Our Doctor General Practitioner will fill this void by prioritizing accessibility (same-day appointments), technology adoption, and culturally sensitive care—key differentiators in Israel’s competitive medical market.</w:t>
      </w:r>
    </w:p>
    <w:bookmarkEnd w:id="21"/>
    <w:bookmarkStart w:id="22" w:name="competitive-analysis"/>
    <w:p>
      <w:pPr>
        <w:pStyle w:val="Heading2"/>
      </w:pPr>
      <w:r>
        <w:t xml:space="preserve">Competitive Analysis</w:t>
      </w:r>
    </w:p>
    <w:p>
      <w:pPr>
        <w:pStyle w:val="FirstParagraph"/>
      </w:pPr>
      <w:r>
        <w:t xml:space="preserve">Audit of Tel Aviv GP practices reveals three primary competitors:</w:t>
      </w:r>
    </w:p>
    <w:p>
      <w:pPr>
        <w:numPr>
          <w:ilvl w:val="0"/>
          <w:numId w:val="1001"/>
        </w:numPr>
        <w:pStyle w:val="Compact"/>
      </w:pPr>
      <w:r>
        <w:rPr>
          <w:bCs/>
          <w:b/>
        </w:rPr>
        <w:t xml:space="preserve">Large HMO Clinics (e.g., Clalit):</w:t>
      </w:r>
      <w:r>
        <w:t xml:space="preserve"> </w:t>
      </w:r>
      <w:r>
        <w:t xml:space="preserve">Offer broad coverage but suffer from long wait times (average 7–10 days for appointments) and impersonal care.</w:t>
      </w:r>
    </w:p>
    <w:p>
      <w:pPr>
        <w:numPr>
          <w:ilvl w:val="0"/>
          <w:numId w:val="1001"/>
        </w:numPr>
        <w:pStyle w:val="Compact"/>
      </w:pPr>
      <w:r>
        <w:rPr>
          <w:bCs/>
          <w:b/>
        </w:rPr>
        <w:t xml:space="preserve">Private Solo Practices:</w:t>
      </w:r>
      <w:r>
        <w:t xml:space="preserve"> </w:t>
      </w:r>
      <w:r>
        <w:t xml:space="preserve">Provide personalized service but lack digital infrastructure, leading to scheduling inefficiencies.</w:t>
      </w:r>
    </w:p>
    <w:p>
      <w:pPr>
        <w:numPr>
          <w:ilvl w:val="0"/>
          <w:numId w:val="1001"/>
        </w:numPr>
        <w:pStyle w:val="Compact"/>
      </w:pPr>
      <w:r>
        <w:rPr>
          <w:bCs/>
          <w:b/>
        </w:rPr>
        <w:t xml:space="preserve">Multispecialty Clinics:</w:t>
      </w:r>
      <w:r>
        <w:t xml:space="preserve"> </w:t>
      </w:r>
      <w:r>
        <w:t xml:space="preserve">Focus on diagnostics over comprehensive primary care, missing holistic GP needs.</w:t>
      </w:r>
    </w:p>
    <w:p>
      <w:pPr>
        <w:pStyle w:val="FirstParagraph"/>
      </w:pPr>
      <w:r>
        <w:t xml:space="preserve">This plan strategically positions our Doctor General Practitioner practice as the "hybrid solution"—combining HMO accessibility with private-sector responsiveness. Key advantages include 24/7 telehealth consultations (aligned with Israel’s Ministry of Health digital health initiatives), no waiting lists, and a dedicated Hebrew/English support team—addressing critical pain points in Tel Aviv's healthcare ecosystem.</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the first six months (target: 30% of Tel Aviv’s professional demographic aged 30–55).</w:t>
      </w:r>
    </w:p>
    <w:p>
      <w:pPr>
        <w:numPr>
          <w:ilvl w:val="0"/>
          <w:numId w:val="1002"/>
        </w:numPr>
        <w:pStyle w:val="Compact"/>
      </w:pPr>
      <w:r>
        <w:t xml:space="preserve">Achieve 92% patient satisfaction scores via post-visit digital surveys (exceeding Tel Aviv healthcare industry average of 85%).</w:t>
      </w:r>
    </w:p>
    <w:p>
      <w:pPr>
        <w:numPr>
          <w:ilvl w:val="0"/>
          <w:numId w:val="1002"/>
        </w:numPr>
        <w:pStyle w:val="Compact"/>
      </w:pPr>
      <w:r>
        <w:t xml:space="preserve">Secure partnerships with 10 local businesses (e.g., tech companies, gyms) for employee health programs by Q4.</w:t>
      </w:r>
    </w:p>
    <w:p>
      <w:pPr>
        <w:numPr>
          <w:ilvl w:val="0"/>
          <w:numId w:val="1002"/>
        </w:numPr>
        <w:pStyle w:val="Compact"/>
      </w:pPr>
      <w:r>
        <w:t xml:space="preserve">Attain 65% brand recognition among Tel Aviv residents through targeted digital campaigns.</w:t>
      </w:r>
    </w:p>
    <w:bookmarkEnd w:id="23"/>
    <w:bookmarkStart w:id="24" w:name="target-audience-in-israel-tel-aviv"/>
    <w:p>
      <w:pPr>
        <w:pStyle w:val="Heading2"/>
      </w:pPr>
      <w:r>
        <w:t xml:space="preserve">Target Audience in Israel Tel Aviv</w:t>
      </w:r>
    </w:p>
    <w:p>
      <w:pPr>
        <w:pStyle w:val="FirstParagraph"/>
      </w:pPr>
      <w:r>
        <w:t xml:space="preserve">The core audience comprises:</w:t>
      </w:r>
    </w:p>
    <w:p>
      <w:pPr>
        <w:numPr>
          <w:ilvl w:val="0"/>
          <w:numId w:val="1003"/>
        </w:numPr>
        <w:pStyle w:val="Compact"/>
      </w:pPr>
      <w:r>
        <w:rPr>
          <w:bCs/>
          <w:b/>
        </w:rPr>
        <w:t xml:space="preserve">Urban Professionals (60%):</w:t>
      </w:r>
      <w:r>
        <w:t xml:space="preserve"> </w:t>
      </w:r>
      <w:r>
        <w:t xml:space="preserve">Tech workers, entrepreneurs, and business owners aged 30–55 seeking efficient care during work hours. They prioritize digital tools (e.g., online booking) and value time savings.</w:t>
      </w:r>
    </w:p>
    <w:p>
      <w:pPr>
        <w:numPr>
          <w:ilvl w:val="0"/>
          <w:numId w:val="1003"/>
        </w:numPr>
        <w:pStyle w:val="Compact"/>
      </w:pPr>
      <w:r>
        <w:rPr>
          <w:bCs/>
          <w:b/>
        </w:rPr>
        <w:t xml:space="preserve">Expatriate Community (25%):</w:t>
      </w:r>
      <w:r>
        <w:t xml:space="preserve"> </w:t>
      </w:r>
      <w:r>
        <w:t xml:space="preserve">English-speaking residents from the US, UK, Europe requiring bilingual services and familiarity with Western medical practices.</w:t>
      </w:r>
    </w:p>
    <w:p>
      <w:pPr>
        <w:numPr>
          <w:ilvl w:val="0"/>
          <w:numId w:val="1003"/>
        </w:numPr>
        <w:pStyle w:val="Compact"/>
      </w:pPr>
      <w:r>
        <w:rPr>
          <w:bCs/>
          <w:b/>
        </w:rPr>
        <w:t xml:space="preserve">Families (15%):</w:t>
      </w:r>
      <w:r>
        <w:t xml:space="preserve"> </w:t>
      </w:r>
      <w:r>
        <w:t xml:space="preserve">Parents of school-aged children needing pediatric-friendly care integrated within the GP practice.</w:t>
      </w:r>
    </w:p>
    <w:p>
      <w:pPr>
        <w:pStyle w:val="FirstParagraph"/>
      </w:pPr>
      <w:r>
        <w:t xml:space="preserve">All segments share common needs: reducing wait times, clear communication in Hebrew/English, and preventive health focus—addressed through our Doctor General Practitioner’s tailored service model.</w:t>
      </w:r>
    </w:p>
    <w:bookmarkEnd w:id="24"/>
    <w:bookmarkStart w:id="25" w:name="marketing-strategies-tactics"/>
    <w:p>
      <w:pPr>
        <w:pStyle w:val="Heading2"/>
      </w:pPr>
      <w:r>
        <w:t xml:space="preserve">Marketing Strategies &amp; Tactics</w:t>
      </w:r>
    </w:p>
    <w:p>
      <w:pPr>
        <w:pStyle w:val="FirstParagraph"/>
      </w:pPr>
      <w:r>
        <w:rPr>
          <w:bCs/>
          <w:b/>
        </w:rPr>
        <w:t xml:space="preserve">Digital-First Patient Acquisition:</w:t>
      </w:r>
      <w:r>
        <w:t xml:space="preserve"> </w:t>
      </w:r>
      <w:r>
        <w:t xml:space="preserve">Launch a localized Tel Aviv campaign using Meta and Google Ads targeting keywords like "Tel Aviv same-day doctor" and "English-speaking GP Israel." Partner with Israeli health apps (e.g., Clalit’s MyHealth) for referral integration. Implement a WhatsApp booking system—widely used in Israel—to streamline appointment scheduling.</w:t>
      </w:r>
    </w:p>
    <w:p>
      <w:pPr>
        <w:pStyle w:val="BodyText"/>
      </w:pPr>
      <w:r>
        <w:rPr>
          <w:bCs/>
          <w:b/>
        </w:rPr>
        <w:t xml:space="preserve">Community Integration:</w:t>
      </w:r>
      <w:r>
        <w:t xml:space="preserve"> </w:t>
      </w:r>
      <w:r>
        <w:t xml:space="preserve">Host quarterly free wellness workshops at Tel Aviv venues (e.g., The Beach, Neve Tzedek cafes), covering topics like "Managing Stress in Startup Culture" or "Preventive Care for Expats." Collaborate with popular Tel Aviv gyms (e.g., Fitness First) for joint health promotions.</w:t>
      </w:r>
    </w:p>
    <w:p>
      <w:pPr>
        <w:pStyle w:val="BodyText"/>
      </w:pPr>
      <w:r>
        <w:rPr>
          <w:bCs/>
          <w:b/>
        </w:rPr>
        <w:t xml:space="preserve">Cultural Localization:</w:t>
      </w:r>
      <w:r>
        <w:t xml:space="preserve"> </w:t>
      </w:r>
      <w:r>
        <w:t xml:space="preserve">All marketing materials feature Israeli families and professionals in authentic Tel Aviv settings. Content is produced in Hebrew with English subtitles, reflecting Israel’s linguistic reality. Staff undergo cultural competency training to address Israeli healthcare sensitivities (e.g., HMO system navigation).</w:t>
      </w:r>
    </w:p>
    <w:p>
      <w:pPr>
        <w:pStyle w:val="BodyText"/>
      </w:pPr>
      <w:r>
        <w:rPr>
          <w:bCs/>
          <w:b/>
        </w:rPr>
        <w:t xml:space="preserve">Referral Ecosystem:</w:t>
      </w:r>
      <w:r>
        <w:t xml:space="preserve"> </w:t>
      </w:r>
      <w:r>
        <w:t xml:space="preserve">Develop a "Refer-a-Friend" program offering 20% discount on next visit. Partner with trusted Tel Aviv businesses: For example, "Book a GP appointment and get 15% off at local wellness café, Aroma." This builds community trust while driving patient flow.</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(Meta, Google)</w:t>
      </w:r>
    </w:p>
    <w:p>
      <w:pPr>
        <w:pStyle w:val="BodyText"/>
      </w:pPr>
      <w:r>
        <w:t xml:space="preserve">40%</w:t>
      </w:r>
    </w:p>
    <w:p>
      <w:pPr>
        <w:pStyle w:val="BodyText"/>
      </w:pPr>
      <w:r>
        <w:t xml:space="preserve">Tel Aviv’s high smartphone penetration (87%) makes digital the most efficient patient acquisition channel.</w:t>
      </w:r>
    </w:p>
    <w:p>
      <w:pPr>
        <w:pStyle w:val="BodyText"/>
      </w:pPr>
      <w:r>
        <w:t xml:space="preserve">Community Events &amp; Partnerships</w:t>
      </w:r>
    </w:p>
    <w:p>
      <w:pPr>
        <w:pStyle w:val="BodyText"/>
      </w:pPr>
      <w:r>
        <w:t xml:space="preserve">30%</w:t>
      </w:r>
    </w:p>
    <w:p>
      <w:pPr>
        <w:pStyle w:val="BodyText"/>
      </w:pPr>
      <w:r>
        <w:t xml:space="preserve">Cultivates organic trust in Israel’s relationship-driven culture.</w:t>
      </w:r>
    </w:p>
    <w:p>
      <w:pPr>
        <w:pStyle w:val="BodyText"/>
      </w:pPr>
      <w:r>
        <w:t xml:space="preserve">Content Creation (Videos, Blog)</w:t>
      </w:r>
    </w:p>
    <w:p>
      <w:pPr>
        <w:pStyle w:val="BodyText"/>
      </w:pPr>
      <w:r>
        <w:t xml:space="preserve">15%</w:t>
      </w:r>
    </w:p>
    <w:p>
      <w:pPr>
        <w:pStyle w:val="BodyText"/>
      </w:pPr>
      <w:r>
        <w:t xml:space="preserve">Maintains SEO visibility for Tel Aviv healthcare searches.</w:t>
      </w:r>
    </w:p>
    <w:p>
      <w:pPr>
        <w:pStyle w:val="BodyText"/>
      </w:pPr>
      <w:r>
        <w:t xml:space="preserve">Referral Program &amp; Loyalty</w:t>
      </w:r>
    </w:p>
    <w:p>
      <w:pPr>
        <w:pStyle w:val="BodyText"/>
      </w:pPr>
      <w:r>
        <w:t xml:space="preserve">10%</w:t>
      </w:r>
    </w:p>
    <w:p>
      <w:pPr>
        <w:pStyle w:val="BodyText"/>
      </w:pPr>
      <w:r>
        <w:t xml:space="preserve">Leverages word-of-mouth, critical in Israeli communities.</w:t>
      </w:r>
    </w:p>
    <w:p>
      <w:pPr>
        <w:pStyle w:val="BodyText"/>
      </w:pPr>
      <w:r>
        <w:t xml:space="preserve">Analytics &amp; Optimization</w:t>
      </w:r>
    </w:p>
    <w:p>
      <w:pPr>
        <w:pStyle w:val="BodyText"/>
      </w:pPr>
      <w:r>
        <w:t xml:space="preserve">5%</w:t>
      </w:r>
    </w:p>
    <w:p>
      <w:pPr>
        <w:pStyle w:val="BodyText"/>
      </w:pPr>
      <w:r>
        <w:t xml:space="preserve">Maintains ROI tracking for real-time strategy adjustments.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finalize partnerships with 3 Tel Aviv businesses; train staff on Israeli healthcare protocols.</w:t>
      </w:r>
    </w:p>
    <w:p>
      <w:pPr>
        <w:pStyle w:val="BodyText"/>
      </w:pPr>
      <w:r>
        <w:rPr>
          <w:bCs/>
          <w:b/>
        </w:rPr>
        <w:t xml:space="preserve">Months 4–6:</w:t>
      </w:r>
      <w:r>
        <w:t xml:space="preserve"> </w:t>
      </w:r>
      <w:r>
        <w:t xml:space="preserve">Host first community workshop; deploy WhatsApp booking system; initiate referral program.</w:t>
      </w:r>
    </w:p>
    <w:p>
      <w:pPr>
        <w:pStyle w:val="BodyText"/>
      </w:pPr>
      <w:r>
        <w:rPr>
          <w:bCs/>
          <w:b/>
        </w:rPr>
        <w:t xml:space="preserve">Months 7–9:</w:t>
      </w:r>
      <w:r>
        <w:t xml:space="preserve"> </w:t>
      </w:r>
      <w:r>
        <w:t xml:space="preserve">Analyze patient feedback for service refinement; expand partnerships to 5 businesses; launch bilingual blog series.</w:t>
      </w:r>
    </w:p>
    <w:p>
      <w:pPr>
        <w:pStyle w:val="BodyText"/>
      </w:pPr>
      <w:r>
        <w:rPr>
          <w:bCs/>
          <w:b/>
        </w:rPr>
        <w:t xml:space="preserve">Months 10–12:</w:t>
      </w:r>
      <w:r>
        <w:t xml:space="preserve"> </w:t>
      </w:r>
      <w:r>
        <w:t xml:space="preserve">Scale successful tactics (e.g., double down on top-performing ad channels); develop annual wellness report for Tel Aviv market insights.</w:t>
      </w:r>
    </w:p>
    <w:bookmarkEnd w:id="27"/>
    <w:bookmarkStart w:id="28" w:name="evaluation-metrics"/>
    <w:p>
      <w:pPr>
        <w:pStyle w:val="Heading2"/>
      </w:pPr>
      <w:r>
        <w:t xml:space="preserve">Evaluation Metrics</w:t>
      </w:r>
    </w:p>
    <w:p>
      <w:pPr>
        <w:pStyle w:val="FirstParagraph"/>
      </w:pPr>
      <w:r>
        <w:t xml:space="preserve">Success is measured through:</w:t>
      </w:r>
    </w:p>
    <w:p>
      <w:pPr>
        <w:numPr>
          <w:ilvl w:val="0"/>
          <w:numId w:val="1004"/>
        </w:numPr>
        <w:pStyle w:val="Compact"/>
      </w:pPr>
      <w:r>
        <w:rPr>
          <w:bCs/>
          <w:b/>
        </w:rPr>
        <w:t xml:space="preserve">Patient Acquisition Cost (PAC):</w:t>
      </w:r>
      <w:r>
        <w:t xml:space="preserve"> </w:t>
      </w:r>
      <w:r>
        <w:t xml:space="preserve">Target ≤ 150 ILS per patient (below Tel Aviv average of 190 ILS).</w:t>
      </w:r>
    </w:p>
    <w:p>
      <w:pPr>
        <w:numPr>
          <w:ilvl w:val="0"/>
          <w:numId w:val="1004"/>
        </w:numPr>
        <w:pStyle w:val="Compact"/>
      </w:pPr>
      <w:r>
        <w:rPr>
          <w:bCs/>
          <w:b/>
        </w:rPr>
        <w:t xml:space="preserve">Patient Retention Rate:</w:t>
      </w:r>
      <w:r>
        <w:t xml:space="preserve"> </w:t>
      </w:r>
      <w:r>
        <w:t xml:space="preserve">Minimum 75% retention at 6 months (industry benchmark: 60%).</w:t>
      </w:r>
    </w:p>
    <w:p>
      <w:pPr>
        <w:numPr>
          <w:ilvl w:val="0"/>
          <w:numId w:val="1004"/>
        </w:numPr>
        <w:pStyle w:val="Compact"/>
      </w:pPr>
      <w:r>
        <w:rPr>
          <w:bCs/>
          <w:b/>
        </w:rPr>
        <w:t xml:space="preserve">Online Engagement:</w:t>
      </w:r>
      <w:r>
        <w:t xml:space="preserve"> </w:t>
      </w:r>
      <w:r>
        <w:t xml:space="preserve">Track website traffic from "Tel Aviv" keywords; aim for ≥40% of new patients via digital channels.</w:t>
      </w:r>
    </w:p>
    <w:p>
      <w:pPr>
        <w:numPr>
          <w:ilvl w:val="0"/>
          <w:numId w:val="1004"/>
        </w:numPr>
        <w:pStyle w:val="Compact"/>
      </w:pPr>
      <w:r>
        <w:rPr>
          <w:bCs/>
          <w:b/>
        </w:rPr>
        <w:t xml:space="preserve">Social Sentiment:</w:t>
      </w:r>
      <w:r>
        <w:t xml:space="preserve"> </w:t>
      </w:r>
      <w:r>
        <w:t xml:space="preserve">Monitor reviews on Google Maps/Israeli platforms; maintain ≥4.7/5 average rating.</w:t>
      </w:r>
    </w:p>
    <w:bookmarkEnd w:id="28"/>
    <w:bookmarkStart w:id="29" w:name="conclusion"/>
    <w:p>
      <w:pPr>
        <w:pStyle w:val="Heading2"/>
      </w:pPr>
      <w:r>
        <w:t xml:space="preserve">Conclusion</w:t>
      </w:r>
    </w:p>
    <w:p>
      <w:pPr>
        <w:pStyle w:val="FirstParagraph"/>
      </w:pPr>
      <w:r>
        <w:t xml:space="preserve">This Marketing Plan positions the Doctor General Practitioner practice as Tel Aviv’s solution for modern primary care—where convenience meets cultural intelligence in Israel’s healthcare context. By focusing on digital accessibility, community embeddedness, and tailored service delivery for Tel Aviv’s unique demographics, this initiative will establish market leadership while delivering exceptional patient outcomes. As the first GP practice in Tel Aviv to fully integrate Israeli cultural norms with cutting-edge healthcare technology, we project sustainable growth that aligns with both patient expectations and Israel’s evolving health landscape. The plan ensures every strategy—from digital ads to community events—centers on making "finding a Doctor General Practitioner in Tel Aviv" effortless, personalized, and deeply rooted in local life.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Services in Tel Aviv, Israel</dc:title>
  <dc:creator/>
  <dc:language>en</dc:language>
  <cp:keywords/>
  <dcterms:created xsi:type="dcterms:W3CDTF">2025-12-12T12:20:12Z</dcterms:created>
  <dcterms:modified xsi:type="dcterms:W3CDTF">2025-12-12T12:20:12Z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