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Clinic</w:t>
      </w:r>
      <w:r>
        <w:t xml:space="preserve"> </w:t>
      </w:r>
      <w:r>
        <w:t xml:space="preserve">in</w:t>
      </w:r>
      <w:r>
        <w:t xml:space="preserve"> </w:t>
      </w:r>
      <w:r>
        <w:t xml:space="preserve">Tokyo,</w:t>
      </w:r>
      <w:r>
        <w:t xml:space="preserve"> </w:t>
      </w:r>
      <w:r>
        <w:t xml:space="preserve">Japan</w:t>
      </w:r>
    </w:p>
    <w:bookmarkStart w:id="32" w:name="X757161e1e3dcbedda81890995917c55606726a4"/>
    <w:p>
      <w:pPr>
        <w:pStyle w:val="Heading1"/>
      </w:pPr>
      <w:r>
        <w:t xml:space="preserve">Comprehensive Marketing Plan for a Modern General Practitioner Clinic in Tokyo, Japan</w:t>
      </w:r>
    </w:p>
    <w:bookmarkStart w:id="20" w:name="executive-summary"/>
    <w:p>
      <w:pPr>
        <w:pStyle w:val="Heading2"/>
      </w:pPr>
      <w:r>
        <w:t xml:space="preserve">Executive Summary</w:t>
      </w:r>
    </w:p>
    <w:p>
      <w:pPr>
        <w:pStyle w:val="FirstParagraph"/>
      </w:pPr>
      <w:r>
        <w:t xml:space="preserve">This Marketing Plan outlines the strategic approach for launching and scaling a premier Doctor General Practitioner (GP) clinic in Tokyo, Japan. Targeting both international expatriates and local Japanese residents seeking accessible primary healthcare, the plan leverages Tokyo's unique demographic landscape and healthcare demands. With Japan's aging population, rising chronic disease rates, and growing preference for preventive care, this clinic will position itself as a culturally attuned medical hub offering bilingual services (Japanese/English) with patient-centric workflows. The core objective is to achieve 500 active patients within the first year while establishing brand authority in Tokyo's competitive healthcare market.</w:t>
      </w:r>
    </w:p>
    <w:bookmarkEnd w:id="20"/>
    <w:bookmarkStart w:id="21" w:name="market-analysis-japan-tokyo-context"/>
    <w:p>
      <w:pPr>
        <w:pStyle w:val="Heading2"/>
      </w:pPr>
      <w:r>
        <w:t xml:space="preserve">Market Analysis: Japan Tokyo Context</w:t>
      </w:r>
    </w:p>
    <w:p>
      <w:pPr>
        <w:pStyle w:val="FirstParagraph"/>
      </w:pPr>
      <w:r>
        <w:t xml:space="preserve">Tokyo's healthcare system presents both opportunities and challenges for a new Doctor General Practitioner practice. Japan boasts one of the world's highest life expectancies but faces systemic pressures including physician shortages (especially in primary care) and an aging population comprising 29% of Tokyo's residents (Statista, 2023). Crucially, Japanese patients often exhibit strong preference for established hospitals over independent clinics due to cultural trust factors. However, a growing segment—particularly young professionals and foreign residents—demands convenient, transparent primary care options. The Ministry of Health's "Medical Care System Reform" prioritizes preventive services and patient-centered care, creating favorable regulatory conditions for innovative GP models in Tokyo.</w:t>
      </w:r>
    </w:p>
    <w:bookmarkEnd w:id="21"/>
    <w:bookmarkStart w:id="22" w:name="target-audience-segmentation"/>
    <w:p>
      <w:pPr>
        <w:pStyle w:val="Heading2"/>
      </w:pPr>
      <w:r>
        <w:t xml:space="preserve">Target Audience Segmentation</w:t>
      </w:r>
    </w:p>
    <w:p>
      <w:pPr>
        <w:pStyle w:val="FirstParagraph"/>
      </w:pPr>
      <w:r>
        <w:t xml:space="preserve">The Marketing Plan identifies three primary segments:</w:t>
      </w:r>
    </w:p>
    <w:p>
      <w:pPr>
        <w:numPr>
          <w:ilvl w:val="0"/>
          <w:numId w:val="1001"/>
        </w:numPr>
        <w:pStyle w:val="Compact"/>
      </w:pPr>
      <w:r>
        <w:rPr>
          <w:bCs/>
          <w:b/>
        </w:rPr>
        <w:t xml:space="preserve">International Community (40%):</w:t>
      </w:r>
      <w:r>
        <w:t xml:space="preserve"> </w:t>
      </w:r>
      <w:r>
        <w:t xml:space="preserve">Foreign residents (500,000+ in Tokyo) facing language barriers with traditional clinics. They prioritize English-speaking Doctors and streamlined insurance navigation.</w:t>
      </w:r>
    </w:p>
    <w:p>
      <w:pPr>
        <w:numPr>
          <w:ilvl w:val="0"/>
          <w:numId w:val="1001"/>
        </w:numPr>
        <w:pStyle w:val="Compact"/>
      </w:pPr>
      <w:r>
        <w:rPr>
          <w:bCs/>
          <w:b/>
        </w:rPr>
        <w:t xml:space="preserve">Aging Population (35%):</w:t>
      </w:r>
      <w:r>
        <w:t xml:space="preserve"> </w:t>
      </w:r>
      <w:r>
        <w:t xml:space="preserve">Tokyo residents over 65 requiring chronic disease management (diabetes, hypertension). They value trust-based relationships with Japanese-speaking GPs.</w:t>
      </w:r>
    </w:p>
    <w:p>
      <w:pPr>
        <w:numPr>
          <w:ilvl w:val="0"/>
          <w:numId w:val="1001"/>
        </w:numPr>
        <w:pStyle w:val="Compact"/>
      </w:pPr>
      <w:r>
        <w:rPr>
          <w:bCs/>
          <w:b/>
        </w:rPr>
        <w:t xml:space="preserve">Youth &amp; Working Professionals (25%):</w:t>
      </w:r>
      <w:r>
        <w:t xml:space="preserve"> </w:t>
      </w:r>
      <w:r>
        <w:t xml:space="preserve">Urban Japanese adults seeking preventive care, workplace health screenings, and same-day appointments without hospital queues.</w:t>
      </w:r>
    </w:p>
    <w:bookmarkEnd w:id="22"/>
    <w:bookmarkStart w:id="23" w:name="marketing-objectives"/>
    <w:p>
      <w:pPr>
        <w:pStyle w:val="Heading2"/>
      </w:pPr>
      <w:r>
        <w:t xml:space="preserve">Marketing Objectives</w:t>
      </w:r>
    </w:p>
    <w:p>
      <w:pPr>
        <w:pStyle w:val="FirstParagraph"/>
      </w:pPr>
      <w:r>
        <w:t xml:space="preserve">Within 18 months of launch in Tokyo:</w:t>
      </w:r>
    </w:p>
    <w:p>
      <w:pPr>
        <w:numPr>
          <w:ilvl w:val="0"/>
          <w:numId w:val="1002"/>
        </w:numPr>
        <w:pStyle w:val="Compact"/>
      </w:pPr>
      <w:r>
        <w:t xml:space="preserve">Achieve 70% patient satisfaction (measured via post-visit surveys)</w:t>
      </w:r>
    </w:p>
    <w:p>
      <w:pPr>
        <w:numPr>
          <w:ilvl w:val="0"/>
          <w:numId w:val="1002"/>
        </w:numPr>
        <w:pStyle w:val="Compact"/>
      </w:pPr>
      <w:r>
        <w:t xml:space="preserve">Attain market share of 12% among English-speaking primary care clinics in Tokyo's central districts</w:t>
      </w:r>
    </w:p>
    <w:p>
      <w:pPr>
        <w:numPr>
          <w:ilvl w:val="0"/>
          <w:numId w:val="1002"/>
        </w:numPr>
        <w:pStyle w:val="Compact"/>
      </w:pPr>
      <w:r>
        <w:t xml:space="preserve">Reduce patient no-show rates by 30% through digital appointment systems</w:t>
      </w:r>
    </w:p>
    <w:bookmarkEnd w:id="23"/>
    <w:bookmarkStart w:id="27" w:name="X20b5159261686c0ee8553030d39ab82b83e5aa9"/>
    <w:p>
      <w:pPr>
        <w:pStyle w:val="Heading2"/>
      </w:pPr>
      <w:r>
        <w:t xml:space="preserve">Marketing Strategies &amp; Tactics: Adapting to Japan Tokyo Culture</w:t>
      </w:r>
    </w:p>
    <w:p>
      <w:pPr>
        <w:pStyle w:val="FirstParagraph"/>
      </w:pPr>
      <w:r>
        <w:t xml:space="preserve">The strategy integrates Japanese cultural norms with modern healthcare delivery:</w:t>
      </w:r>
    </w:p>
    <w:bookmarkStart w:id="24" w:name="X543ec8ba3fb7e3c1367fd5c15b8862b3c0fb5cb"/>
    <w:p>
      <w:pPr>
        <w:pStyle w:val="Heading3"/>
      </w:pPr>
      <w:r>
        <w:t xml:space="preserve">1. Cultural Integration in Patient Experience (Critical for Doctor General Practitioner Brand)</w:t>
      </w:r>
    </w:p>
    <w:p>
      <w:pPr>
        <w:numPr>
          <w:ilvl w:val="0"/>
          <w:numId w:val="1003"/>
        </w:numPr>
        <w:pStyle w:val="Compact"/>
      </w:pPr>
      <w:r>
        <w:rPr>
          <w:bCs/>
          <w:b/>
        </w:rPr>
        <w:t xml:space="preserve">Bilingual &amp; Bicultural Staff:</w:t>
      </w:r>
      <w:r>
        <w:t xml:space="preserve"> </w:t>
      </w:r>
      <w:r>
        <w:t xml:space="preserve">All Doctors and nurses undergo 6-month cultural competency training. Clinic staff will master "keigo" (polite language) for Japanese patients and direct communication preferred by Westerners.</w:t>
      </w:r>
    </w:p>
    <w:p>
      <w:pPr>
        <w:numPr>
          <w:ilvl w:val="0"/>
          <w:numId w:val="1003"/>
        </w:numPr>
        <w:pStyle w:val="Compact"/>
      </w:pPr>
      <w:r>
        <w:rPr>
          <w:bCs/>
          <w:b/>
        </w:rPr>
        <w:t xml:space="preserve">Omotenashi (Japanese Hospitality) Protocol:</w:t>
      </w:r>
      <w:r>
        <w:t xml:space="preserve"> </w:t>
      </w:r>
      <w:r>
        <w:t xml:space="preserve">Welcome gifts (seasonal Japanese sweets), personalized care plans, and follow-up calls post-visit—aligning with local expectations of exceptional service.</w:t>
      </w:r>
    </w:p>
    <w:p>
      <w:pPr>
        <w:numPr>
          <w:ilvl w:val="0"/>
          <w:numId w:val="1003"/>
        </w:numPr>
        <w:pStyle w:val="Compact"/>
      </w:pPr>
      <w:r>
        <w:rPr>
          <w:bCs/>
          <w:b/>
        </w:rPr>
        <w:t xml:space="preserve">Digital Integration:</w:t>
      </w:r>
      <w:r>
        <w:t xml:space="preserve"> </w:t>
      </w:r>
      <w:r>
        <w:t xml:space="preserve">App featuring Japanese/English interfaces, AI chat support for appointment requests, and integrated payment via Japan's leading digital wallets (PayPay, LINE Pay).</w:t>
      </w:r>
    </w:p>
    <w:bookmarkEnd w:id="24"/>
    <w:bookmarkStart w:id="25" w:name="community-centric-partnerships-in-tokyo"/>
    <w:p>
      <w:pPr>
        <w:pStyle w:val="Heading3"/>
      </w:pPr>
      <w:r>
        <w:t xml:space="preserve">2. Community-Centric Partnerships in Tokyo</w:t>
      </w:r>
    </w:p>
    <w:p>
      <w:pPr>
        <w:numPr>
          <w:ilvl w:val="0"/>
          <w:numId w:val="1004"/>
        </w:numPr>
        <w:pStyle w:val="Compact"/>
      </w:pPr>
      <w:r>
        <w:rPr>
          <w:bCs/>
          <w:b/>
        </w:rPr>
        <w:t xml:space="preserve">Corporate Collaborations:</w:t>
      </w:r>
      <w:r>
        <w:t xml:space="preserve"> </w:t>
      </w:r>
      <w:r>
        <w:t xml:space="preserve">Partner with Tokyo-based firms like Sony, Toyota, and foreign embassies for on-site health screenings and employee wellness programs.</w:t>
      </w:r>
    </w:p>
    <w:p>
      <w:pPr>
        <w:numPr>
          <w:ilvl w:val="0"/>
          <w:numId w:val="1004"/>
        </w:numPr>
        <w:pStyle w:val="Compact"/>
      </w:pPr>
      <w:r>
        <w:rPr>
          <w:bCs/>
          <w:b/>
        </w:rPr>
        <w:t xml:space="preserve">Municipal Alliances:</w:t>
      </w:r>
      <w:r>
        <w:t xml:space="preserve"> </w:t>
      </w:r>
      <w:r>
        <w:t xml:space="preserve">Co-host free "Healthy Aging Seminars" with Tokyo wards (e.g., Minato City) targeting elderly residents at community centers.</w:t>
      </w:r>
    </w:p>
    <w:p>
      <w:pPr>
        <w:numPr>
          <w:ilvl w:val="0"/>
          <w:numId w:val="1004"/>
        </w:numPr>
        <w:pStyle w:val="Compact"/>
      </w:pPr>
      <w:r>
        <w:rPr>
          <w:bCs/>
          <w:b/>
        </w:rPr>
        <w:t xml:space="preserve">Medical Network Integration:</w:t>
      </w:r>
      <w:r>
        <w:t xml:space="preserve"> </w:t>
      </w:r>
      <w:r>
        <w:t xml:space="preserve">Establish referral pathways with leading Tokyo hospitals (St. Luke's, Teikyo University Hospital) to reinforce credibility as a trusted Doctor General Practitioner hub.</w:t>
      </w:r>
    </w:p>
    <w:bookmarkEnd w:id="25"/>
    <w:bookmarkStart w:id="26" w:name="Xe65a8e8a328cf8096aad7c3ccc6fc1ee73f1d28"/>
    <w:p>
      <w:pPr>
        <w:pStyle w:val="Heading3"/>
      </w:pPr>
      <w:r>
        <w:t xml:space="preserve">3. Digital &amp; Experiential Marketing for Tokyo Audience</w:t>
      </w:r>
    </w:p>
    <w:p>
      <w:pPr>
        <w:numPr>
          <w:ilvl w:val="0"/>
          <w:numId w:val="1005"/>
        </w:numPr>
        <w:pStyle w:val="Compact"/>
      </w:pPr>
      <w:r>
        <w:rPr>
          <w:bCs/>
          <w:b/>
        </w:rPr>
        <w:t xml:space="preserve">Localized Social Media:</w:t>
      </w:r>
      <w:r>
        <w:t xml:space="preserve"> </w:t>
      </w:r>
      <w:r>
        <w:t xml:space="preserve">YouTube content featuring Japanese patient testimonials (subtitled in English) and TikTok "Day in the Life" clinic videos to demystify GP services.</w:t>
      </w:r>
    </w:p>
    <w:p>
      <w:pPr>
        <w:numPr>
          <w:ilvl w:val="0"/>
          <w:numId w:val="1005"/>
        </w:numPr>
        <w:pStyle w:val="Compact"/>
      </w:pPr>
      <w:r>
        <w:rPr>
          <w:bCs/>
          <w:b/>
        </w:rPr>
        <w:t xml:space="preserve">Google Ads Targeting:</w:t>
      </w:r>
      <w:r>
        <w:t xml:space="preserve"> </w:t>
      </w:r>
      <w:r>
        <w:t xml:space="preserve">Geo-fenced campaigns for Tokyo districts with high expat populations (Roppongi, Shibuya) using keywords like "English-speaking doctor Tokyo."</w:t>
      </w:r>
    </w:p>
    <w:p>
      <w:pPr>
        <w:numPr>
          <w:ilvl w:val="0"/>
          <w:numId w:val="1005"/>
        </w:numPr>
        <w:pStyle w:val="Compact"/>
      </w:pPr>
      <w:r>
        <w:rPr>
          <w:bCs/>
          <w:b/>
        </w:rPr>
        <w:t xml:space="preserve">Clinic Experience Marketing:</w:t>
      </w:r>
      <w:r>
        <w:t xml:space="preserve"> </w:t>
      </w:r>
      <w:r>
        <w:t xml:space="preserve">Free "Wellness Check-Up Days" at popular Tokyo locations (e.g., Roppongi Hills) offering blood pressure tests and health consultations.</w:t>
      </w:r>
    </w:p>
    <w:bookmarkEnd w:id="26"/>
    <w:bookmarkEnd w:id="27"/>
    <w:bookmarkStart w:id="28" w:name="budget-allocation-japan-tokyo-focus"/>
    <w:p>
      <w:pPr>
        <w:pStyle w:val="Heading2"/>
      </w:pPr>
      <w:r>
        <w:t xml:space="preserve">Budget Allocation: Japan Tokyo Focus</w:t>
      </w:r>
    </w:p>
    <w:p>
      <w:pPr>
        <w:pStyle w:val="FirstParagraph"/>
      </w:pPr>
      <w:r>
        <w:t xml:space="preserve">Category</w:t>
      </w:r>
    </w:p>
    <w:p>
      <w:pPr>
        <w:pStyle w:val="BodyText"/>
      </w:pPr>
      <w:r>
        <w:t xml:space="preserve">Allocation (%)</w:t>
      </w:r>
    </w:p>
    <w:p>
      <w:pPr>
        <w:pStyle w:val="BodyText"/>
      </w:pPr>
      <w:r>
        <w:t xml:space="preserve">Key Activities in Tokyo</w:t>
      </w:r>
    </w:p>
    <w:p>
      <w:pPr>
        <w:pStyle w:val="BodyText"/>
      </w:pPr>
      <w:r>
        <w:t xml:space="preserve">Cultural Training &amp; Staff Development</w:t>
      </w:r>
    </w:p>
    <w:p>
      <w:pPr>
        <w:pStyle w:val="BodyText"/>
      </w:pPr>
      <w:r>
        <w:t xml:space="preserve">25%</w:t>
      </w:r>
    </w:p>
    <w:p>
      <w:pPr>
        <w:pStyle w:val="BodyText"/>
      </w:pPr>
      <w:r>
        <w:t xml:space="preserve">Certification programs at Tokyo University of Foreign Studies; monthly "Omotenashi" workshops.</w:t>
      </w:r>
    </w:p>
    <w:p>
      <w:pPr>
        <w:pStyle w:val="BodyText"/>
      </w:pPr>
      <w:r>
        <w:t xml:space="preserve">Digital Marketing &amp; Tech</w:t>
      </w:r>
    </w:p>
    <w:p>
      <w:pPr>
        <w:pStyle w:val="BodyText"/>
      </w:pPr>
      <w:r>
        <w:t xml:space="preserve">30%</w:t>
      </w:r>
    </w:p>
    <w:p>
      <w:pPr>
        <w:pStyle w:val="BodyText"/>
      </w:pPr>
      <w:r>
        <w:t xml:space="preserve">Tokyo-specific social media ads; app development for Japanese mobile OS (FOMA, Docomo).</w:t>
      </w:r>
    </w:p>
    <w:p>
      <w:pPr>
        <w:pStyle w:val="BodyText"/>
      </w:pPr>
      <w:r>
        <w:t xml:space="preserve">Community Partnerships</w:t>
      </w:r>
    </w:p>
    <w:p>
      <w:pPr>
        <w:pStyle w:val="BodyText"/>
      </w:pPr>
      <w:r>
        <w:t xml:space="preserve">25%</w:t>
      </w:r>
    </w:p>
    <w:p>
      <w:pPr>
        <w:pStyle w:val="BodyText"/>
      </w:pPr>
      <w:r>
        <w:t xml:space="preserve">Sponsorship of Tokyo Marathon health events; ward council collaborations.</w:t>
      </w:r>
    </w:p>
    <w:p>
      <w:pPr>
        <w:pStyle w:val="BodyText"/>
      </w:pPr>
      <w:r>
        <w:t xml:space="preserve">Brand Experience &amp; PR</w:t>
      </w:r>
    </w:p>
    <w:p>
      <w:pPr>
        <w:pStyle w:val="BodyText"/>
      </w:pPr>
      <w:r>
        <w:t xml:space="preserve">20%</w:t>
      </w:r>
    </w:p>
    <w:p>
      <w:pPr>
        <w:pStyle w:val="BodyText"/>
      </w:pPr>
      <w:r>
        <w:t xml:space="preserve">Promotional materials in Japanese magazines (Shukan Bunshun); media relations with Tokyo-based health reporters.</w:t>
      </w:r>
    </w:p>
    <w:bookmarkEnd w:id="28"/>
    <w:bookmarkStart w:id="29" w:name="Xdb939959d25c2f19ba57385df1feb467e9cb40e"/>
    <w:p>
      <w:pPr>
        <w:pStyle w:val="Heading2"/>
      </w:pPr>
      <w:r>
        <w:t xml:space="preserve">Implementation Timeline: Tokyo-Specific Milestones</w:t>
      </w:r>
    </w:p>
    <w:p>
      <w:pPr>
        <w:numPr>
          <w:ilvl w:val="0"/>
          <w:numId w:val="1006"/>
        </w:numPr>
        <w:pStyle w:val="Compact"/>
      </w:pPr>
      <w:r>
        <w:rPr>
          <w:bCs/>
          <w:b/>
        </w:rPr>
        <w:t xml:space="preserve">Months 1-3:</w:t>
      </w:r>
      <w:r>
        <w:t xml:space="preserve"> </w:t>
      </w:r>
      <w:r>
        <w:t xml:space="preserve">Secure clinic license from Tokyo Metropolitan Government; hire Japanese-speaking physicians; launch bilingual website with LINE account integration.</w:t>
      </w:r>
    </w:p>
    <w:p>
      <w:pPr>
        <w:numPr>
          <w:ilvl w:val="0"/>
          <w:numId w:val="1006"/>
        </w:numPr>
        <w:pStyle w:val="Compact"/>
      </w:pPr>
      <w:r>
        <w:rPr>
          <w:bCs/>
          <w:b/>
        </w:rPr>
        <w:t xml:space="preserve">Months 4-6:</w:t>
      </w:r>
      <w:r>
        <w:t xml:space="preserve"> </w:t>
      </w:r>
      <w:r>
        <w:t xml:space="preserve">Partner with 3 Tokyo corporations for pilot wellness programs; host first community health seminar at Shinjuku Ward Office.</w:t>
      </w:r>
    </w:p>
    <w:p>
      <w:pPr>
        <w:numPr>
          <w:ilvl w:val="0"/>
          <w:numId w:val="1006"/>
        </w:numPr>
        <w:pStyle w:val="Compact"/>
      </w:pPr>
      <w:r>
        <w:rPr>
          <w:bCs/>
          <w:b/>
        </w:rPr>
        <w:t xml:space="preserve">Months 7-9:</w:t>
      </w:r>
      <w:r>
        <w:t xml:space="preserve"> </w:t>
      </w:r>
      <w:r>
        <w:t xml:space="preserve">Deploy AI appointment system; expand to Shibuya and Minato districts with pop-up clinics during summer festivals.</w:t>
      </w:r>
    </w:p>
    <w:p>
      <w:pPr>
        <w:numPr>
          <w:ilvl w:val="0"/>
          <w:numId w:val="1006"/>
        </w:numPr>
        <w:pStyle w:val="Compact"/>
      </w:pPr>
      <w:r>
        <w:rPr>
          <w:bCs/>
          <w:b/>
        </w:rPr>
        <w:t xml:space="preserve">Months 10-12:</w:t>
      </w:r>
      <w:r>
        <w:t xml:space="preserve"> </w:t>
      </w:r>
      <w:r>
        <w:t xml:space="preserve">Achieve 300 active patients; publish first annual Tokyo Healthcare Report highlighting clinic insights.</w:t>
      </w:r>
    </w:p>
    <w:bookmarkEnd w:id="29"/>
    <w:bookmarkStart w:id="30" w:name="X618a0d252719ea5c2edb524f8dac1b0c2b12d91"/>
    <w:p>
      <w:pPr>
        <w:pStyle w:val="Heading2"/>
      </w:pPr>
      <w:r>
        <w:t xml:space="preserve">Evaluation Metrics: Measuring Success in Japan Tokyo</w:t>
      </w:r>
    </w:p>
    <w:p>
      <w:pPr>
        <w:pStyle w:val="FirstParagraph"/>
      </w:pPr>
      <w:r>
        <w:t xml:space="preserve">The Marketing Plan employs dual metrics aligned with Japanese business values:</w:t>
      </w:r>
    </w:p>
    <w:p>
      <w:pPr>
        <w:numPr>
          <w:ilvl w:val="0"/>
          <w:numId w:val="1007"/>
        </w:numPr>
        <w:pStyle w:val="Compact"/>
      </w:pPr>
      <w:r>
        <w:rPr>
          <w:bCs/>
          <w:b/>
        </w:rPr>
        <w:t xml:space="preserve">Quantitative:</w:t>
      </w:r>
      <w:r>
        <w:t xml:space="preserve"> </w:t>
      </w:r>
      <w:r>
        <w:t xml:space="preserve">Patient acquisition cost (target: ¥8,500/person), retention rate (target: 65% after 6 months), and social media engagement rate in Tokyo.</w:t>
      </w:r>
    </w:p>
    <w:p>
      <w:pPr>
        <w:numPr>
          <w:ilvl w:val="0"/>
          <w:numId w:val="1007"/>
        </w:numPr>
        <w:pStyle w:val="Compact"/>
      </w:pPr>
      <w:r>
        <w:rPr>
          <w:bCs/>
          <w:b/>
        </w:rPr>
        <w:t xml:space="preserve">Cultural Alignment:</w:t>
      </w:r>
      <w:r>
        <w:t xml:space="preserve"> </w:t>
      </w:r>
      <w:r>
        <w:t xml:space="preserve">"Omotenashi" score from patient surveys, hospital referral rates from partner clinics, and inclusion in Tokyo medical association directories.</w:t>
      </w:r>
    </w:p>
    <w:bookmarkEnd w:id="30"/>
    <w:bookmarkStart w:id="31" w:name="X5daf3b209137c724f39c96892d1fa42da648752"/>
    <w:p>
      <w:pPr>
        <w:pStyle w:val="Heading2"/>
      </w:pPr>
      <w:r>
        <w:t xml:space="preserve">Conclusion: Why This Marketing Plan Resonates with Japan Tokyo</w:t>
      </w:r>
    </w:p>
    <w:p>
      <w:pPr>
        <w:pStyle w:val="FirstParagraph"/>
      </w:pPr>
      <w:r>
        <w:t xml:space="preserve">This strategic framework transcends generic marketing by embedding the Doctor General Practitioner service within Tokyo's cultural fabric. It addresses systemic gaps in Japan's healthcare—specifically the unmet need for approachable primary care among diverse populations—while respecting local expectations of precision, respect, and hospitality. By positioning the clinic not merely as a medical provider but as an integral part of Tokyo's community health ecosystem, this Marketing Plan ensures sustainable growth in one of Asia's most demanding healthcare markets. Success will be measured not just in patient numbers, but in how effectively the Doctor General Practitioner practice becomes synonymous with trustworthy, culturally fluent healthcare across Japan Tokyo.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Clinic in Tokyo, Japan</dc:title>
  <dc:creator/>
  <dc:language>en</dc:language>
  <cp:keywords/>
  <dcterms:created xsi:type="dcterms:W3CDTF">2026-07-21T14:04:37Z</dcterms:created>
  <dcterms:modified xsi:type="dcterms:W3CDTF">2026-07-21T14:04:37Z</dcterms:modified>
</cp:coreProperties>
</file>

<file path=docProps/custom.xml><?xml version="1.0" encoding="utf-8"?>
<Properties xmlns="http://schemas.openxmlformats.org/officeDocument/2006/custom-properties" xmlns:vt="http://schemas.openxmlformats.org/officeDocument/2006/docPropsVTypes"/>
</file>