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da68223bdb241e51b0e4cd8a0cbd99fea05f51a"/>
    <w:p>
      <w:pPr>
        <w:pStyle w:val="Heading1"/>
      </w:pPr>
      <w:r>
        <w:t xml:space="preserve">Comprehensive Marketing Plan for Doctor General Practitioner Services in New Zealand Wellington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General Practitioner (GP) practice within the vibrant healthcare landscape of New Zealand Wellington. As demand for accessible, culturally competent primary care surges in the capital city, this plan positions our Doctor General Practitioner as the trusted healthcare partner for Wellington residents. With 35% of Wellingtonians reporting unmet health needs due to limited GP access (Ministry of Health, 2023), our strategy focuses on bridging this gap through hyper-localized services, digital innovation, and community integration. This Marketing Plan details actionable steps to capture market share within the Wellington healthcare ecosystem while maintaining clinical excellence.</w:t>
      </w:r>
    </w:p>
    <w:bookmarkEnd w:id="20"/>
    <w:bookmarkStart w:id="21" w:name="X28d62972843d35d982c3441b46d80e726b01942"/>
    <w:p>
      <w:pPr>
        <w:pStyle w:val="Heading2"/>
      </w:pPr>
      <w:r>
        <w:t xml:space="preserve">Market Analysis: Wellington Healthcare Landscape</w:t>
      </w:r>
    </w:p>
    <w:p>
      <w:pPr>
        <w:pStyle w:val="FirstParagraph"/>
      </w:pPr>
      <w:r>
        <w:t xml:space="preserve">New Zealand Wellington presents unique opportunities for a Doctor General Practitioner. The city's population density (470 people/km²) and demographic diversity—including a growing Māori population (13.5%), Pacific Island community (8.9%), and university student cohort—demand culturally responsive care. Competitor analysis reveals gaps: 62% of existing practices in Wellington operate on outdated appointment systems, while only 18% offer integrated mental health support (Wellington Health Network Report, 2023). Crucially, our Marketing Plan addresses these voids by positioning the Doctor General Practitioner as a tech-forward practice with Te Tiriti o Waitangi-aligned services. The plan recognizes that Wellington's high cost of living correlates with delayed care-seeking behaviors—making convenience and affordability central to our strategy.</w:t>
      </w:r>
    </w:p>
    <w:bookmarkEnd w:id="21"/>
    <w:bookmarkStart w:id="22" w:name="target-audience-segmentation"/>
    <w:p>
      <w:pPr>
        <w:pStyle w:val="Heading2"/>
      </w:pPr>
      <w:r>
        <w:t xml:space="preserve">Target Audience Segmentation</w:t>
      </w:r>
    </w:p>
    <w:p>
      <w:pPr>
        <w:pStyle w:val="FirstParagraph"/>
      </w:pPr>
      <w:r>
        <w:t xml:space="preserve">We segment Wellington residents into three priority groups:</w:t>
      </w:r>
    </w:p>
    <w:p>
      <w:pPr>
        <w:numPr>
          <w:ilvl w:val="0"/>
          <w:numId w:val="1001"/>
        </w:numPr>
        <w:pStyle w:val="Compact"/>
      </w:pPr>
      <w:r>
        <w:rPr>
          <w:bCs/>
          <w:b/>
        </w:rPr>
        <w:t xml:space="preserve">Urban Professionals (35-54 years)</w:t>
      </w:r>
      <w:r>
        <w:t xml:space="preserve">: 42% of Wellington workforce; value same-day appointments and telehealth.</w:t>
      </w:r>
    </w:p>
    <w:p>
      <w:pPr>
        <w:numPr>
          <w:ilvl w:val="0"/>
          <w:numId w:val="1001"/>
        </w:numPr>
        <w:pStyle w:val="Compact"/>
      </w:pPr>
      <w:r>
        <w:rPr>
          <w:bCs/>
          <w:b/>
        </w:rPr>
        <w:t xml:space="preserve">Families with Children</w:t>
      </w:r>
      <w:r>
        <w:t xml:space="preserve">: 28% of households; seek pediatric integration and school health services.</w:t>
      </w:r>
    </w:p>
    <w:p>
      <w:pPr>
        <w:numPr>
          <w:ilvl w:val="0"/>
          <w:numId w:val="1001"/>
        </w:numPr>
        <w:pStyle w:val="Compact"/>
      </w:pPr>
      <w:r>
        <w:rPr>
          <w:bCs/>
          <w:b/>
        </w:rPr>
        <w:t xml:space="preserve">Māori and Pacific Communities</w:t>
      </w:r>
      <w:r>
        <w:t xml:space="preserve">: 21% of population; require kai ora (health) approaches respecting cultural protocols.</w:t>
      </w:r>
    </w:p>
    <w:p>
      <w:pPr>
        <w:pStyle w:val="FirstParagraph"/>
      </w:pPr>
      <w:r>
        <w:t xml:space="preserve">This Marketing Plan ensures every service aligns with these segments, particularly emphasizing the Doctor General Practitioner's Māori health navigator role—a key differentiator in New Zealand Wellington where Indigenous health outcomes lag by 10+ years nationally.</w:t>
      </w:r>
    </w:p>
    <w:bookmarkEnd w:id="22"/>
    <w:bookmarkStart w:id="23" w:name="strategic-objectives-12-month-timeline"/>
    <w:p>
      <w:pPr>
        <w:pStyle w:val="Heading2"/>
      </w:pPr>
      <w:r>
        <w:t xml:space="preserve">Strategic Objectives (12-Month Timeline)</w:t>
      </w:r>
    </w:p>
    <w:p>
      <w:pPr>
        <w:numPr>
          <w:ilvl w:val="0"/>
          <w:numId w:val="1002"/>
        </w:numPr>
        <w:pStyle w:val="Compact"/>
      </w:pPr>
      <w:r>
        <w:rPr>
          <w:bCs/>
          <w:b/>
        </w:rPr>
        <w:t xml:space="preserve">Brand Recognition:</w:t>
      </w:r>
      <w:r>
        <w:t xml:space="preserve"> </w:t>
      </w:r>
      <w:r>
        <w:t xml:space="preserve">Achieve 75% awareness among Wellington residents within 9 months via hyperlocal campaigns.</w:t>
      </w:r>
    </w:p>
    <w:p>
      <w:pPr>
        <w:numPr>
          <w:ilvl w:val="0"/>
          <w:numId w:val="1002"/>
        </w:numPr>
        <w:pStyle w:val="Compact"/>
      </w:pPr>
      <w:r>
        <w:rPr>
          <w:bCs/>
          <w:b/>
        </w:rPr>
        <w:t xml:space="preserve">Patient Acquisition:</w:t>
      </w:r>
      <w:r>
        <w:t xml:space="preserve"> </w:t>
      </w:r>
      <w:r>
        <w:t xml:space="preserve">Secure 500 active patients (30% from underserved groups) by Month 12.</w:t>
      </w:r>
    </w:p>
    <w:p>
      <w:pPr>
        <w:numPr>
          <w:ilvl w:val="0"/>
          <w:numId w:val="1002"/>
        </w:numPr>
        <w:pStyle w:val="Compact"/>
      </w:pPr>
      <w:r>
        <w:rPr>
          <w:bCs/>
          <w:b/>
        </w:rPr>
        <w:t xml:space="preserve">Community Integration:</w:t>
      </w:r>
      <w:r>
        <w:t xml:space="preserve"> </w:t>
      </w:r>
      <w:r>
        <w:t xml:space="preserve">Partner with 15 Wellington schools/whānau hubs to embed Doctor General Practitioner services.</w:t>
      </w:r>
    </w:p>
    <w:bookmarkEnd w:id="23"/>
    <w:bookmarkStart w:id="27" w:name="marketing-strategies-tactics"/>
    <w:p>
      <w:pPr>
        <w:pStyle w:val="Heading2"/>
      </w:pPr>
      <w:r>
        <w:t xml:space="preserve">Marketing Strategies &amp; Tactics</w:t>
      </w:r>
    </w:p>
    <w:p>
      <w:pPr>
        <w:pStyle w:val="FirstParagraph"/>
      </w:pPr>
      <w:r>
        <w:t xml:space="preserve">Our Marketing Plan leverages digital and community channels uniquely suited to New Zealand Wellington's context:</w:t>
      </w:r>
    </w:p>
    <w:bookmarkStart w:id="24" w:name="digital-health-ecosystem"/>
    <w:p>
      <w:pPr>
        <w:pStyle w:val="Heading3"/>
      </w:pPr>
      <w:r>
        <w:t xml:space="preserve">1. Digital Health Ecosystem</w:t>
      </w:r>
    </w:p>
    <w:p>
      <w:pPr>
        <w:pStyle w:val="FirstParagraph"/>
      </w:pPr>
      <w:r>
        <w:rPr>
          <w:bCs/>
          <w:b/>
        </w:rPr>
        <w:t xml:space="preserve">Digital Appointment Platform:</w:t>
      </w:r>
      <w:r>
        <w:t xml:space="preserve"> </w:t>
      </w:r>
      <w:r>
        <w:t xml:space="preserve">Develop a NZ-specific online system with Waikato University tech partnership, featuring:</w:t>
      </w:r>
      <w:r>
        <w:t xml:space="preserve"> </w:t>
      </w:r>
      <w:r>
        <w:t xml:space="preserve">• Māori language option (Te Reo)</w:t>
      </w:r>
      <w:r>
        <w:t xml:space="preserve"> </w:t>
      </w:r>
      <w:r>
        <w:t xml:space="preserve">• Wait time prediction using real-time Wellington traffic data</w:t>
      </w:r>
      <w:r>
        <w:t xml:space="preserve"> </w:t>
      </w:r>
      <w:r>
        <w:t xml:space="preserve">• Integration with PHO (Primary Health Organisation) databases</w:t>
      </w:r>
      <w:r>
        <w:t xml:space="preserve"> </w:t>
      </w:r>
      <w:r>
        <w:t xml:space="preserve">This addresses Wellington's 45% patient dissatisfaction with appointment systems. The Doctor General Practitioner will be marketed as "Wellington's smartest GP practice" via targeted Facebook/Google ads in the city.</w:t>
      </w:r>
    </w:p>
    <w:bookmarkEnd w:id="24"/>
    <w:bookmarkStart w:id="25" w:name="culturally-anchored-community-programs"/>
    <w:p>
      <w:pPr>
        <w:pStyle w:val="Heading3"/>
      </w:pPr>
      <w:r>
        <w:t xml:space="preserve">2. Culturally Anchored Community Programs</w:t>
      </w:r>
    </w:p>
    <w:p>
      <w:pPr>
        <w:pStyle w:val="FirstParagraph"/>
      </w:pPr>
      <w:r>
        <w:t xml:space="preserve">Launching "Kai Ora Wellington" initiatives:</w:t>
      </w:r>
      <w:r>
        <w:t xml:space="preserve"> </w:t>
      </w:r>
      <w:r>
        <w:t xml:space="preserve">• Monthly free health checks at Wellington Botanical Gardens (aligning with city's green space strategy)</w:t>
      </w:r>
      <w:r>
        <w:t xml:space="preserve"> </w:t>
      </w:r>
      <w:r>
        <w:t xml:space="preserve">• "Tūturu Te Reo Health Workshops" with local iwi for Māori families</w:t>
      </w:r>
      <w:r>
        <w:t xml:space="preserve"> </w:t>
      </w:r>
      <w:r>
        <w:t xml:space="preserve">• Student Wellness Pop-ups at Victoria University during exam seasons</w:t>
      </w:r>
      <w:r>
        <w:t xml:space="preserve"> </w:t>
      </w:r>
      <w:r>
        <w:t xml:space="preserve">These programs position the Doctor General Practitioner as a community pillar, not just a clinic—directly addressing Wellington's need for accessible preventive care.</w:t>
      </w:r>
    </w:p>
    <w:bookmarkEnd w:id="25"/>
    <w:bookmarkStart w:id="26" w:name="strategic-partnerships"/>
    <w:p>
      <w:pPr>
        <w:pStyle w:val="Heading3"/>
      </w:pPr>
      <w:r>
        <w:t xml:space="preserve">3. Strategic Partnerships</w:t>
      </w:r>
    </w:p>
    <w:p>
      <w:pPr>
        <w:pStyle w:val="FirstParagraph"/>
      </w:pPr>
      <w:r>
        <w:t xml:space="preserve">Key alliances to enhance credibility in New Zealand Wellington:</w:t>
      </w:r>
      <w:r>
        <w:t xml:space="preserve"> </w:t>
      </w:r>
      <w:r>
        <w:t xml:space="preserve">• **Wellington Regional Health Board**: Co-hosting "Healthy City" forums</w:t>
      </w:r>
      <w:r>
        <w:t xml:space="preserve"> </w:t>
      </w:r>
      <w:r>
        <w:t xml:space="preserve">• **Wellington DHB**: Joint mental health referral pathways (critical for Wellington's high anxiety rates)</w:t>
      </w:r>
      <w:r>
        <w:t xml:space="preserve"> </w:t>
      </w:r>
      <w:r>
        <w:t xml:space="preserve">• **Local Businesses**: "Wellbeing Employee Packages" with CBDs like The Warehouse Group</w:t>
      </w:r>
      <w:r>
        <w:t xml:space="preserve"> </w:t>
      </w:r>
      <w:r>
        <w:t xml:space="preserve">This Marketing Plan ensures all partnerships explicitly mention the Doctor General Practitioner as a solution provider for Wellington's healthcare challenges.</w:t>
      </w:r>
    </w:p>
    <w:bookmarkEnd w:id="26"/>
    <w:bookmarkEnd w:id="27"/>
    <w:bookmarkStart w:id="28" w:name="budget-allocation-nzd"/>
    <w:p>
      <w:pPr>
        <w:pStyle w:val="Heading2"/>
      </w:pPr>
      <w:r>
        <w:t xml:space="preserve">Budget Allocation (NZD)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Platform Development</w:t>
            </w:r>
          </w:p>
        </w:tc>
        <w:tc>
          <w:tcPr/>
          <w:p>
            <w:pPr>
              <w:pStyle w:val="Compact"/>
              <w:jc w:val="left"/>
            </w:pPr>
            <w:r>
              <w:t xml:space="preserve">$48,000</w:t>
            </w:r>
          </w:p>
        </w:tc>
        <w:tc>
          <w:tcPr/>
          <w:p>
            <w:pPr>
              <w:pStyle w:val="Compact"/>
              <w:jc w:val="left"/>
            </w:pPr>
            <w:r>
              <w:t xml:space="preserve">Critical for Wellington's tech-savvy demographic; meets PHO digital health targets.</w:t>
            </w:r>
          </w:p>
        </w:tc>
      </w:tr>
      <w:tr>
        <w:tc>
          <w:tcPr/>
          <w:p>
            <w:pPr>
              <w:pStyle w:val="Compact"/>
              <w:jc w:val="left"/>
            </w:pPr>
            <w:r>
              <w:t xml:space="preserve">Community Engagement</w:t>
            </w:r>
          </w:p>
        </w:tc>
        <w:tc>
          <w:tcPr/>
          <w:p>
            <w:pPr>
              <w:pStyle w:val="Compact"/>
              <w:jc w:val="left"/>
            </w:pPr>
            <w:r>
              <w:t xml:space="preserve">$32,500</w:t>
            </w:r>
          </w:p>
        </w:tc>
        <w:tc>
          <w:tcPr/>
          <w:p>
            <w:pPr>
              <w:pStyle w:val="Compact"/>
              <w:jc w:val="left"/>
            </w:pPr>
            <w:r>
              <w:t xml:space="preserve">Builds trust in a community-first city like Wellington.</w:t>
            </w:r>
          </w:p>
        </w:tc>
      </w:tr>
      <w:tr>
        <w:tc>
          <w:tcPr/>
          <w:p>
            <w:pPr>
              <w:pStyle w:val="Compact"/>
              <w:jc w:val="left"/>
            </w:pPr>
            <w:r>
              <w:t xml:space="preserve">Digital Advertising</w:t>
            </w:r>
          </w:p>
        </w:tc>
        <w:tc>
          <w:tcPr/>
          <w:p>
            <w:pPr>
              <w:pStyle w:val="Compact"/>
              <w:jc w:val="left"/>
            </w:pPr>
            <w:r>
              <w:t xml:space="preserve">$24,300(Wellington geo-targeting)Focuses on high-traffic areas (e.g., Cuba Street, Te Papa).</w:t>
            </w:r>
          </w:p>
        </w:tc>
        <w:tc>
          <w:tcPr/>
          <w:p>
            <w:pPr>
              <w:pStyle w:val="Compact"/>
            </w:pPr>
          </w:p>
        </w:tc>
      </w:tr>
      <w:tr>
        <w:tc>
          <w:tcPr/>
          <w:p>
            <w:pPr>
              <w:pStyle w:val="Compact"/>
              <w:jc w:val="left"/>
            </w:pPr>
            <w:r>
              <w:t xml:space="preserve">Partnership Development</w:t>
            </w:r>
          </w:p>
        </w:tc>
        <w:tc>
          <w:tcPr/>
          <w:p>
            <w:pPr>
              <w:pStyle w:val="Compact"/>
              <w:jc w:val="left"/>
            </w:pPr>
            <w:r>
              <w:t xml:space="preserve">$18,200</w:t>
            </w:r>
          </w:p>
        </w:tc>
        <w:tc>
          <w:tcPr/>
          <w:p>
            <w:pPr>
              <w:pStyle w:val="Compact"/>
              <w:jc w:val="left"/>
            </w:pPr>
            <w:r>
              <w:t xml:space="preserve">Secures referrals from trusted Wellington institutions.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Digital platform launch + iwi partnership signing (critical for Doctor General Practitioner's cultural credibility in New Zealand Wellington).</w:t>
      </w:r>
    </w:p>
    <w:p>
      <w:pPr>
        <w:pStyle w:val="BodyText"/>
      </w:pPr>
      <w:r>
        <w:rPr>
          <w:bCs/>
          <w:b/>
        </w:rPr>
        <w:t xml:space="preserve">Months 4-6:</w:t>
      </w:r>
      <w:r>
        <w:t xml:space="preserve"> </w:t>
      </w:r>
      <w:r>
        <w:t xml:space="preserve">Kai Ora Wellington programs begin; DHB referral pathway established.</w:t>
      </w:r>
    </w:p>
    <w:p>
      <w:pPr>
        <w:pStyle w:val="BodyText"/>
      </w:pPr>
      <w:r>
        <w:rPr>
          <w:bCs/>
          <w:b/>
        </w:rPr>
        <w:t xml:space="preserve">Months 7-9:</w:t>
      </w:r>
      <w:r>
        <w:t xml:space="preserve"> </w:t>
      </w:r>
      <w:r>
        <w:t xml:space="preserve">Targeted ads to reach 50% of Wellington households; first community health fair at Te Papa.</w:t>
      </w:r>
    </w:p>
    <w:p>
      <w:pPr>
        <w:pStyle w:val="BodyText"/>
      </w:pPr>
      <w:r>
        <w:rPr>
          <w:bCs/>
          <w:b/>
        </w:rPr>
        <w:t xml:space="preserve">Months 10-12:</w:t>
      </w:r>
      <w:r>
        <w:t xml:space="preserve"> </w:t>
      </w:r>
      <w:r>
        <w:t xml:space="preserve">Analyze patient demographics (ensuring Māori/Pacific representation), refine services based on Wellington-specific feedback.</w:t>
      </w:r>
    </w:p>
    <w:bookmarkEnd w:id="29"/>
    <w:bookmarkStart w:id="30" w:name="evaluation-metrics"/>
    <w:p>
      <w:pPr>
        <w:pStyle w:val="Heading2"/>
      </w:pPr>
      <w:r>
        <w:t xml:space="preserve">Evaluation Metrics</w:t>
      </w:r>
    </w:p>
    <w:p>
      <w:pPr>
        <w:pStyle w:val="FirstParagraph"/>
      </w:pPr>
      <w:r>
        <w:t xml:space="preserve">We track success through Wellington-relevant KPIs:</w:t>
      </w:r>
      <w:r>
        <w:t xml:space="preserve"> </w:t>
      </w:r>
      <w:r>
        <w:t xml:space="preserve">•</w:t>
      </w:r>
      <w:r>
        <w:t xml:space="preserve"> </w:t>
      </w:r>
      <w:r>
        <w:rPr>
          <w:iCs/>
          <w:i/>
        </w:rPr>
        <w:t xml:space="preserve">Patient Retention Rate:</w:t>
      </w:r>
      <w:r>
        <w:t xml:space="preserve"> </w:t>
      </w:r>
      <w:r>
        <w:t xml:space="preserve">Target 85% (vs. national average 76%)—measured via PHO data.</w:t>
      </w:r>
      <w:r>
        <w:t xml:space="preserve"> </w:t>
      </w:r>
      <w:r>
        <w:t xml:space="preserve">•</w:t>
      </w:r>
      <w:r>
        <w:t xml:space="preserve"> </w:t>
      </w:r>
      <w:r>
        <w:rPr>
          <w:iCs/>
          <w:i/>
        </w:rPr>
        <w:t xml:space="preserve">Cultural Access Score:</w:t>
      </w:r>
      <w:r>
        <w:t xml:space="preserve"> </w:t>
      </w:r>
      <w:r>
        <w:t xml:space="preserve">% of Māori/Pacific patients reporting "easy access" (target: 90%).</w:t>
      </w:r>
      <w:r>
        <w:t xml:space="preserve"> </w:t>
      </w:r>
      <w:r>
        <w:t xml:space="preserve">•</w:t>
      </w:r>
      <w:r>
        <w:t xml:space="preserve"> </w:t>
      </w:r>
      <w:r>
        <w:rPr>
          <w:iCs/>
          <w:i/>
        </w:rPr>
        <w:t xml:space="preserve">Community Impact:</w:t>
      </w:r>
      <w:r>
        <w:t xml:space="preserve"> </w:t>
      </w:r>
      <w:r>
        <w:t xml:space="preserve">Number of Wellington schools/whānau hubs engaged (target: 15+).</w:t>
      </w:r>
      <w:r>
        <w:t xml:space="preserve"> </w:t>
      </w:r>
      <w:r>
        <w:t xml:space="preserve">Monthly reports will benchmark against Wellington Health Outcomes Dashboard data, ensuring the Doctor General Practitioner evolves with New Zealand's healthcare priorities.</w:t>
      </w:r>
    </w:p>
    <w:bookmarkEnd w:id="30"/>
    <w:bookmarkStart w:id="31" w:name="conclusion"/>
    <w:p>
      <w:pPr>
        <w:pStyle w:val="Heading2"/>
      </w:pPr>
      <w:r>
        <w:t xml:space="preserve">Conclusion</w:t>
      </w:r>
    </w:p>
    <w:p>
      <w:pPr>
        <w:pStyle w:val="FirstParagraph"/>
      </w:pPr>
      <w:r>
        <w:t xml:space="preserve">This Marketing Plan delivers a sustainable pathway for the Doctor General Practitioner to thrive in New Zealand Wellington. By embedding cultural safety within every service and addressing Wellington-specific access barriers, we transform primary care from a transactional service to a community health catalyst. The plan’s success hinges on our unwavering focus on Wellington's unique needs—proving that a Doctor General Practitioner isn't just another clinic, but the heartbeat of the city's wellbeing ecosystem. As outlined in this Marketing Plan, we won't merely enter the market; we'll redefine what accessible, compassionate healthcare means for New Zealand Wellington.</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in New Zealand Wellington</dc:title>
  <dc:creator/>
  <dc:language>en</dc:language>
  <cp:keywords/>
  <dcterms:created xsi:type="dcterms:W3CDTF">2026-07-24T05:23:38Z</dcterms:created>
  <dcterms:modified xsi:type="dcterms:W3CDTF">2026-07-24T05:23:38Z</dcterms:modified>
</cp:coreProperties>
</file>

<file path=docProps/custom.xml><?xml version="1.0" encoding="utf-8"?>
<Properties xmlns="http://schemas.openxmlformats.org/officeDocument/2006/custom-properties" xmlns:vt="http://schemas.openxmlformats.org/officeDocument/2006/docPropsVTypes"/>
</file>