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Russia</w:t>
      </w:r>
      <w:r>
        <w:t xml:space="preserve"> </w:t>
      </w:r>
      <w:r>
        <w:t xml:space="preserve">Moscow</w:t>
      </w:r>
    </w:p>
    <w:bookmarkStart w:id="31" w:name="X11c1078629c0ddd63c0d576683316cd42ecb644"/>
    <w:p>
      <w:pPr>
        <w:pStyle w:val="Heading1"/>
      </w:pPr>
      <w:r>
        <w:t xml:space="preserve">Comprehensive Marketing Plan for Doctor General Practitioner Services in Russia Moscow</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within the competitive healthcare landscape of Russia Moscow. Focused on delivering accessible, high-quality primary care tailored to Moscow's urban demographic, this plan addresses critical gaps in convenience, trust, and personalized service. The core objective is to position our Doctor General Practitioner as the preferred choice for residents seeking reliable, patient-centered medical care in Russia’s capital city. Leveraging Moscow's unique cultural and infrastructural context, this initiative will drive patient acquisition through digital engagement and community trust-building.</w:t>
      </w:r>
    </w:p>
    <w:bookmarkEnd w:id="20"/>
    <w:bookmarkStart w:id="21" w:name="X052c127021df69c58b64afc71464790105958b7"/>
    <w:p>
      <w:pPr>
        <w:pStyle w:val="Heading2"/>
      </w:pPr>
      <w:r>
        <w:t xml:space="preserve">Market Analysis: Russia Moscow Healthcare Landscape</w:t>
      </w:r>
    </w:p>
    <w:p>
      <w:pPr>
        <w:pStyle w:val="FirstParagraph"/>
      </w:pPr>
      <w:r>
        <w:t xml:space="preserve">Moscow's healthcare system presents distinct challenges for primary care patients. State clinics face chronic overcrowding, long wait times (averaging 2-4 weeks for GP appointments), and limited patient-provider interaction. Simultaneously, private clinics often lack continuity of care or specialize narrowly—leaving a significant gap for a full-service Doctor General Practitioner who offers comprehensive first-contact healthcare. In Russia Moscow, 68% of urban residents prioritize convenience and trust over cost when selecting primary care (Rosstat Health Survey 2023). Crucially, Moscow’s population density (13,000+ people/km²) demands practices with strategic locations and flexible scheduling to overcome transportation barriers. Competitors in the Russia Moscow market are typically chain clinics emphasizing diagnostics over holistic care, creating an opportunity for our Doctor General Practitioner to differentiate through personalized attention.</w:t>
      </w:r>
    </w:p>
    <w:bookmarkEnd w:id="21"/>
    <w:bookmarkStart w:id="22" w:name="target-audience-definition"/>
    <w:p>
      <w:pPr>
        <w:pStyle w:val="Heading2"/>
      </w:pPr>
      <w:r>
        <w:t xml:space="preserve">Target Audience Definition</w:t>
      </w:r>
    </w:p>
    <w:p>
      <w:pPr>
        <w:pStyle w:val="FirstParagraph"/>
      </w:pPr>
      <w:r>
        <w:t xml:space="preserve">Our primary audience comprises working professionals (30-55 years) residing in central Moscow districts (e.g., Zamoskvorechye, Tverskoy), dual-income families, and expatriates requiring English/Russian bilingual support. These segments value time efficiency, digital accessibility, and medical continuity. Secondary audiences include elderly residents (60+), seeking proactive care management within Moscow’s complex healthcare ecosystem. All target groups demonstrate high smartphone penetration (92% in Moscow) but express frustration with fragmented care options—a gap our Doctor General Practitioner directly solves.</w:t>
      </w:r>
    </w:p>
    <w:bookmarkEnd w:id="22"/>
    <w:bookmarkStart w:id="23" w:name="X85739765207e11b5082d94ba13b2a49826c5a88"/>
    <w:p>
      <w:pPr>
        <w:pStyle w:val="Heading2"/>
      </w:pPr>
      <w:r>
        <w:t xml:space="preserve">Unique Value Proposition: Why Our Doctor General Practitioner Stands Out</w:t>
      </w:r>
    </w:p>
    <w:p>
      <w:pPr>
        <w:pStyle w:val="FirstParagraph"/>
      </w:pPr>
      <w:r>
        <w:t xml:space="preserve">We position our Doctor General Practitioner as the "Moscow Care Companion," merging clinical excellence with hyper-localized service. Key differentiators include:</w:t>
      </w:r>
    </w:p>
    <w:p>
      <w:pPr>
        <w:numPr>
          <w:ilvl w:val="0"/>
          <w:numId w:val="1001"/>
        </w:numPr>
        <w:pStyle w:val="Compact"/>
      </w:pPr>
      <w:r>
        <w:rPr>
          <w:bCs/>
          <w:b/>
        </w:rPr>
        <w:t xml:space="preserve">Same-Day Appointments:</w:t>
      </w:r>
      <w:r>
        <w:t xml:space="preserve"> </w:t>
      </w:r>
      <w:r>
        <w:t xml:space="preserve">Guaranteed slots within 24 hours via our Moscow-based booking system (addressing critical pain points in Russia’s healthcare culture).</w:t>
      </w:r>
    </w:p>
    <w:p>
      <w:pPr>
        <w:numPr>
          <w:ilvl w:val="0"/>
          <w:numId w:val="1001"/>
        </w:numPr>
        <w:pStyle w:val="Compact"/>
      </w:pPr>
      <w:r>
        <w:rPr>
          <w:bCs/>
          <w:b/>
        </w:rPr>
        <w:t xml:space="preserve">Cultural Competency:</w:t>
      </w:r>
      <w:r>
        <w:t xml:space="preserve"> </w:t>
      </w:r>
      <w:r>
        <w:t xml:space="preserve">All staff fluent in Russian and English, with training in Moscow-specific health concerns (e.g., seasonal allergies, urban stress syndromes).</w:t>
      </w:r>
    </w:p>
    <w:p>
      <w:pPr>
        <w:numPr>
          <w:ilvl w:val="0"/>
          <w:numId w:val="1001"/>
        </w:numPr>
        <w:pStyle w:val="Compact"/>
      </w:pPr>
      <w:r>
        <w:rPr>
          <w:bCs/>
          <w:b/>
        </w:rPr>
        <w:t xml:space="preserve">Continuity Focus:</w:t>
      </w:r>
      <w:r>
        <w:t xml:space="preserve"> </w:t>
      </w:r>
      <w:r>
        <w:t xml:space="preserve">Dedicated Doctor General Practitioner for each patient—no "doctor rotation," fostering trust absent in many Moscow clinics.</w:t>
      </w:r>
    </w:p>
    <w:p>
      <w:pPr>
        <w:numPr>
          <w:ilvl w:val="0"/>
          <w:numId w:val="1001"/>
        </w:numPr>
        <w:pStyle w:val="Compact"/>
      </w:pPr>
      <w:r>
        <w:rPr>
          <w:bCs/>
          <w:b/>
        </w:rPr>
        <w:t xml:space="preserve">Integrated Digital Platform:</w:t>
      </w:r>
      <w:r>
        <w:t xml:space="preserve"> </w:t>
      </w:r>
      <w:r>
        <w:t xml:space="preserve">App with telehealth, electronic health records (compliant with Roszdravnadzor standards), and pharmacy integrations—essential for Russia’s digitally-savvy urban population.</w:t>
      </w:r>
    </w:p>
    <w:bookmarkEnd w:id="23"/>
    <w:bookmarkStart w:id="27" w:name="marketing-tactics-channels"/>
    <w:p>
      <w:pPr>
        <w:pStyle w:val="Heading2"/>
      </w:pPr>
      <w:r>
        <w:t xml:space="preserve">Marketing Tactics &amp; Channels</w:t>
      </w:r>
    </w:p>
    <w:p>
      <w:pPr>
        <w:pStyle w:val="FirstParagraph"/>
      </w:pPr>
      <w:r>
        <w:t xml:space="preserve">This strategy leverages Moscow-specific channels where residents actively seek healthcare solutions:</w:t>
      </w:r>
    </w:p>
    <w:bookmarkStart w:id="24" w:name="digital-first-engagement-60-of-budget"/>
    <w:p>
      <w:pPr>
        <w:pStyle w:val="Heading3"/>
      </w:pPr>
      <w:r>
        <w:t xml:space="preserve">Digital-First Engagement (60% of Budget)</w:t>
      </w:r>
    </w:p>
    <w:p>
      <w:pPr>
        <w:numPr>
          <w:ilvl w:val="0"/>
          <w:numId w:val="1002"/>
        </w:numPr>
        <w:pStyle w:val="Compact"/>
      </w:pPr>
      <w:r>
        <w:rPr>
          <w:bCs/>
          <w:b/>
        </w:rPr>
        <w:t xml:space="preserve">Telegram &amp; VKontakte Campaigns:</w:t>
      </w:r>
      <w:r>
        <w:t xml:space="preserve"> </w:t>
      </w:r>
      <w:r>
        <w:t xml:space="preserve">Targeted ads in Moscow health groups (e.g., "Moscow Parents," "Business Professionals"). Content: Short videos featuring our Doctor General Practitioner explaining common Moscow health scenarios (e.g., "Managing Flu Season in Traffic-Clogged Moscow").</w:t>
      </w:r>
    </w:p>
    <w:p>
      <w:pPr>
        <w:numPr>
          <w:ilvl w:val="0"/>
          <w:numId w:val="1002"/>
        </w:numPr>
        <w:pStyle w:val="Compact"/>
      </w:pPr>
      <w:r>
        <w:rPr>
          <w:bCs/>
          <w:b/>
        </w:rPr>
        <w:t xml:space="preserve">Google Ads &amp; Yandex:</w:t>
      </w:r>
      <w:r>
        <w:t xml:space="preserve"> </w:t>
      </w:r>
      <w:r>
        <w:t xml:space="preserve">Geo-targeted keywords like "doctor general practitioner Moscow," "same-day GP appointment Russia" with landing pages highlighting location convenience (e.g., near Metro stations Krasnaya Presnya, Novoslobodskaya).</w:t>
      </w:r>
    </w:p>
    <w:p>
      <w:pPr>
        <w:numPr>
          <w:ilvl w:val="0"/>
          <w:numId w:val="1002"/>
        </w:numPr>
        <w:pStyle w:val="Compact"/>
      </w:pPr>
      <w:r>
        <w:rPr>
          <w:bCs/>
          <w:b/>
        </w:rPr>
        <w:t xml:space="preserve">SEO Optimization:</w:t>
      </w:r>
      <w:r>
        <w:t xml:space="preserve"> </w:t>
      </w:r>
      <w:r>
        <w:t xml:space="preserve">Content hub on our site addressing Moscow-specific queries: "Best GP for Expats in Moscow," "Managing Asthma in Cold Moscow Winters."</w:t>
      </w:r>
    </w:p>
    <w:bookmarkEnd w:id="24"/>
    <w:bookmarkStart w:id="25" w:name="community-trust-building-30-of-budget"/>
    <w:p>
      <w:pPr>
        <w:pStyle w:val="Heading3"/>
      </w:pPr>
      <w:r>
        <w:t xml:space="preserve">Community Trust-Building (30% of Budget)</w:t>
      </w:r>
    </w:p>
    <w:p>
      <w:pPr>
        <w:numPr>
          <w:ilvl w:val="0"/>
          <w:numId w:val="1003"/>
        </w:numPr>
        <w:pStyle w:val="Compact"/>
      </w:pPr>
      <w:r>
        <w:rPr>
          <w:bCs/>
          <w:b/>
        </w:rPr>
        <w:t xml:space="preserve">Local Partnership Programs:</w:t>
      </w:r>
      <w:r>
        <w:t xml:space="preserve"> </w:t>
      </w:r>
      <w:r>
        <w:t xml:space="preserve">Collaborate with Moscow employers (e.g., tech hubs like Skolkovo) for on-site health screenings. Host free "Moscow Health Talks" at community centers (e.g., Gorky Park, VDNKh) focusing on urban wellness.</w:t>
      </w:r>
    </w:p>
    <w:p>
      <w:pPr>
        <w:numPr>
          <w:ilvl w:val="0"/>
          <w:numId w:val="1003"/>
        </w:numPr>
        <w:pStyle w:val="Compact"/>
      </w:pPr>
      <w:r>
        <w:rPr>
          <w:bCs/>
          <w:b/>
        </w:rPr>
        <w:t xml:space="preserve">Referral Incentives:</w:t>
      </w:r>
      <w:r>
        <w:t xml:space="preserve"> </w:t>
      </w:r>
      <w:r>
        <w:t xml:space="preserve">"Refer a Friend" program offering 15% off for both parties—leveraging Moscow’s strong word-of-mouth culture in neighborhoods like Leninsky Prospekt.</w:t>
      </w:r>
    </w:p>
    <w:bookmarkEnd w:id="25"/>
    <w:bookmarkStart w:id="26" w:name="offline-visibility-10-of-budget"/>
    <w:p>
      <w:pPr>
        <w:pStyle w:val="Heading3"/>
      </w:pPr>
      <w:r>
        <w:t xml:space="preserve">Offline Visibility (10% of Budget)</w:t>
      </w:r>
    </w:p>
    <w:p>
      <w:pPr>
        <w:numPr>
          <w:ilvl w:val="0"/>
          <w:numId w:val="1004"/>
        </w:numPr>
        <w:pStyle w:val="Compact"/>
      </w:pPr>
      <w:r>
        <w:rPr>
          <w:bCs/>
          <w:b/>
        </w:rPr>
        <w:t xml:space="preserve">Strategic Location Signage:</w:t>
      </w:r>
      <w:r>
        <w:t xml:space="preserve"> </w:t>
      </w:r>
      <w:r>
        <w:t xml:space="preserve">Professional storefronts near high-traffic areas (e.g., Tverskoy Boulevard) with clear Russian/English signage stating "Doctor General Practitioner: Moscow’s Most Trusted GP."</w:t>
      </w:r>
    </w:p>
    <w:p>
      <w:pPr>
        <w:numPr>
          <w:ilvl w:val="0"/>
          <w:numId w:val="1004"/>
        </w:numPr>
        <w:pStyle w:val="Compact"/>
      </w:pPr>
      <w:r>
        <w:rPr>
          <w:bCs/>
          <w:b/>
        </w:rPr>
        <w:t xml:space="preserve">Print Media:</w:t>
      </w:r>
      <w:r>
        <w:t xml:space="preserve"> </w:t>
      </w:r>
      <w:r>
        <w:t xml:space="preserve">Partnerships with Moscow lifestyle magazines (e.g., "Moscow City Guide") for feature articles on primary care innovation.</w:t>
      </w:r>
    </w:p>
    <w:bookmarkEnd w:id="26"/>
    <w:bookmarkEnd w:id="27"/>
    <w:bookmarkStart w:id="28" w:name="budget-allocation-kpis"/>
    <w:p>
      <w:pPr>
        <w:pStyle w:val="Heading2"/>
      </w:pPr>
      <w:r>
        <w:t xml:space="preserve">Budget Allocation &amp; KPIs</w:t>
      </w:r>
    </w:p>
    <w:p>
      <w:pPr>
        <w:pStyle w:val="FirstParagraph"/>
      </w:pPr>
      <w:r>
        <w:t xml:space="preserve">The initial 6-month marketing budget is set at $45,000 (all-in), optimized for the Russia Moscow market:</w:t>
      </w:r>
    </w:p>
    <w:p>
      <w:pPr>
        <w:numPr>
          <w:ilvl w:val="0"/>
          <w:numId w:val="1005"/>
        </w:numPr>
        <w:pStyle w:val="Compact"/>
      </w:pPr>
      <w:r>
        <w:t xml:space="preserve">Digital Ads: $27,000 (60%)</w:t>
      </w:r>
    </w:p>
    <w:p>
      <w:pPr>
        <w:numPr>
          <w:ilvl w:val="0"/>
          <w:numId w:val="1005"/>
        </w:numPr>
        <w:pStyle w:val="Compact"/>
      </w:pPr>
      <w:r>
        <w:t xml:space="preserve">Community Events &amp; Partnerships: $13,500 (30%)</w:t>
      </w:r>
    </w:p>
    <w:p>
      <w:pPr>
        <w:numPr>
          <w:ilvl w:val="0"/>
          <w:numId w:val="1005"/>
        </w:numPr>
        <w:pStyle w:val="Compact"/>
      </w:pPr>
      <w:r>
        <w:t xml:space="preserve">Offline Materials &amp; PR: $4,500 (10%)</w:t>
      </w:r>
    </w:p>
    <w:p>
      <w:pPr>
        <w:pStyle w:val="FirstParagraph"/>
      </w:pPr>
      <w:r>
        <w:t xml:space="preserve">KPIs to track success include:</w:t>
      </w:r>
    </w:p>
    <w:p>
      <w:pPr>
        <w:numPr>
          <w:ilvl w:val="0"/>
          <w:numId w:val="1006"/>
        </w:numPr>
        <w:pStyle w:val="Compact"/>
      </w:pPr>
      <w:r>
        <w:t xml:space="preserve">Acquisition Cost per Patient: Target ≤$125 (Moscow market average: $180)</w:t>
      </w:r>
    </w:p>
    <w:p>
      <w:pPr>
        <w:numPr>
          <w:ilvl w:val="0"/>
          <w:numId w:val="1006"/>
        </w:numPr>
        <w:pStyle w:val="Compact"/>
      </w:pPr>
      <w:r>
        <w:t xml:space="preserve">Website/App Booking Rate: Target 45% of leads converted to appointments</w:t>
      </w:r>
    </w:p>
    <w:p>
      <w:pPr>
        <w:numPr>
          <w:ilvl w:val="0"/>
          <w:numId w:val="1006"/>
        </w:numPr>
        <w:pStyle w:val="Compact"/>
      </w:pPr>
      <w:r>
        <w:t xml:space="preserve">Patient Retention Rate: Target 75% at 6 months (exceeding Moscow industry avg. of 62%)</w:t>
      </w:r>
    </w:p>
    <w:bookmarkEnd w:id="28"/>
    <w:bookmarkStart w:id="29" w:name="compliance-localization-in-russia-moscow"/>
    <w:p>
      <w:pPr>
        <w:pStyle w:val="Heading2"/>
      </w:pPr>
      <w:r>
        <w:t xml:space="preserve">Compliance &amp; Localization in Russia Moscow</w:t>
      </w:r>
    </w:p>
    <w:p>
      <w:pPr>
        <w:pStyle w:val="FirstParagraph"/>
      </w:pPr>
      <w:r>
        <w:t xml:space="preserve">All marketing materials strictly comply with Russian healthcare regulations (Roszdravnadzor), avoiding exaggerated claims. Content is rigorously localized: medical references cite Moscow-specific data (e.g., "Moscow’s pollution levels affect 40% of respiratory patients"), and all communications use Russian cultural nuances (e.g., emphasizing family health, not just individual care). The Doctor General Practitioner’s profile prominently features Russian medical licenses and certifications recognized by Moscow authorities.</w:t>
      </w:r>
    </w:p>
    <w:bookmarkEnd w:id="29"/>
    <w:bookmarkStart w:id="30" w:name="X5f5e1ae1d90d60ef8ba27c94d2212249115d03b"/>
    <w:p>
      <w:pPr>
        <w:pStyle w:val="Heading2"/>
      </w:pPr>
      <w:r>
        <w:t xml:space="preserve">Conclusion: Building Moscow's Trusted Healthcare Hub</w:t>
      </w:r>
    </w:p>
    <w:p>
      <w:pPr>
        <w:pStyle w:val="FirstParagraph"/>
      </w:pPr>
      <w:r>
        <w:t xml:space="preserve">This Marketing Plan ensures the Doctor General Practitioner service becomes synonymous with reliable, accessible healthcare in Russia Moscow. By focusing on the city’s unique challenges—overcrowded clinics, transportation hurdles, and cultural expectations—we transform primary care from a necessity into a preferred experience. The integrated approach of digital convenience, community trust-building, and strict local compliance positions our Doctor General Practitioner not just as another clinic, but as an essential partner in Moscow residents’ health journeys. Success will be measured by patient loyalty metrics that reflect the deep integration of this service within Russia’s most dynamic urban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Russia Moscow</dc:title>
  <dc:creator/>
  <dc:language>en</dc:language>
  <cp:keywords/>
  <dcterms:created xsi:type="dcterms:W3CDTF">2026-07-23T15:58:16Z</dcterms:created>
  <dcterms:modified xsi:type="dcterms:W3CDTF">2026-07-23T15:58:16Z</dcterms:modified>
</cp:coreProperties>
</file>

<file path=docProps/custom.xml><?xml version="1.0" encoding="utf-8"?>
<Properties xmlns="http://schemas.openxmlformats.org/officeDocument/2006/custom-properties" xmlns:vt="http://schemas.openxmlformats.org/officeDocument/2006/docPropsVTypes"/>
</file>