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Dakar,</w:t>
      </w:r>
      <w:r>
        <w:t xml:space="preserve"> </w:t>
      </w:r>
      <w:r>
        <w:t xml:space="preserve">Senegal</w:t>
      </w:r>
    </w:p>
    <w:bookmarkStart w:id="33" w:name="X692d809a02ea1a7a9da7f4b6a24642e4f977053"/>
    <w:p>
      <w:pPr>
        <w:pStyle w:val="Heading1"/>
      </w:pPr>
      <w:r>
        <w:t xml:space="preserve">Comprehensive Marketing Plan for a Doctor General Practitioner Practice in Dakar, Senegal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practice in Dakar, Senegal. With rapidly increasing healthcare demands and limited accessible primary care services in urban centers like Dakar, this plan addresses critical market gaps through culturally attuned patient engagement. Our mission is to become the most trusted general medical practice in Senegal Dakar by delivering affordable, quality primary healthcare while building community resilience against common tropical and chronic diseases.</w:t>
      </w:r>
    </w:p>
    <w:bookmarkEnd w:id="20"/>
    <w:bookmarkStart w:id="21" w:name="X5a4cd856ece8a4705044128e9fe987f3ff6c9bc"/>
    <w:p>
      <w:pPr>
        <w:pStyle w:val="Heading2"/>
      </w:pPr>
      <w:r>
        <w:t xml:space="preserve">Situation Analysis: Healthcare Landscape in Senegal Dakar</w:t>
      </w:r>
    </w:p>
    <w:p>
      <w:pPr>
        <w:pStyle w:val="FirstParagraph"/>
      </w:pPr>
      <w:r>
        <w:t xml:space="preserve">Dakar faces significant healthcare challenges: 45% of the population lacks consistent access to primary care, with rural-to-urban migration exacerbating strain on facilities. The World Health Organization reports only 0.5 physicians per 1,000 people in Senegal versus the WHO-recommended 1:1,000. In Dakar specifically, long wait times and high costs at public clinics create a ripe market for private GP services that prioritize accessibility and cultural competence. Competitors include clinic chains like Clinique du Soleil and independent practitioners who lack digital integration and community outreach programs.</w:t>
      </w:r>
    </w:p>
    <w:bookmarkEnd w:id="21"/>
    <w:bookmarkStart w:id="22" w:name="target-audience"/>
    <w:p>
      <w:pPr>
        <w:pStyle w:val="Heading2"/>
      </w:pPr>
      <w:r>
        <w:t xml:space="preserve">Target Audience</w:t>
      </w:r>
    </w:p>
    <w:p>
      <w:pPr>
        <w:pStyle w:val="FirstParagraph"/>
      </w:pPr>
      <w:r>
        <w:t xml:space="preserve">Our primary segments in Senegal Dakar are:</w:t>
      </w:r>
    </w:p>
    <w:p>
      <w:pPr>
        <w:numPr>
          <w:ilvl w:val="0"/>
          <w:numId w:val="1001"/>
        </w:numPr>
        <w:pStyle w:val="Compact"/>
      </w:pPr>
      <w:r>
        <w:rPr>
          <w:bCs/>
          <w:b/>
        </w:rPr>
        <w:t xml:space="preserve">Urban Middle-Class Families (60%)</w:t>
      </w:r>
      <w:r>
        <w:t xml:space="preserve">: Working professionals aged 28-55 seeking convenient, appointment-based care for children and adults with moderate budgets.</w:t>
      </w:r>
    </w:p>
    <w:p>
      <w:pPr>
        <w:numPr>
          <w:ilvl w:val="0"/>
          <w:numId w:val="1001"/>
        </w:numPr>
        <w:pStyle w:val="Compact"/>
      </w:pPr>
      <w:r>
        <w:rPr>
          <w:bCs/>
          <w:b/>
        </w:rPr>
        <w:t xml:space="preserve">Expatriate Communities (20%)</w:t>
      </w:r>
      <w:r>
        <w:t xml:space="preserve">: International residents requiring English/French-speaking GPs with familiarity in Western medical protocols.</w:t>
      </w:r>
    </w:p>
    <w:p>
      <w:pPr>
        <w:numPr>
          <w:ilvl w:val="0"/>
          <w:numId w:val="1001"/>
        </w:numPr>
        <w:pStyle w:val="Compact"/>
      </w:pPr>
      <w:r>
        <w:rPr>
          <w:bCs/>
          <w:b/>
        </w:rPr>
        <w:t xml:space="preserve">Senior Citizens (15%)</w:t>
      </w:r>
      <w:r>
        <w:t xml:space="preserve">: Over 60s managing chronic conditions like hypertension and diabetes who value trust-based relationships.</w:t>
      </w:r>
    </w:p>
    <w:p>
      <w:pPr>
        <w:numPr>
          <w:ilvl w:val="0"/>
          <w:numId w:val="1001"/>
        </w:numPr>
        <w:pStyle w:val="Compact"/>
      </w:pPr>
      <w:r>
        <w:rPr>
          <w:bCs/>
          <w:b/>
        </w:rPr>
        <w:t xml:space="preserve">Small Business Owners (5%)</w:t>
      </w:r>
      <w:r>
        <w:t xml:space="preserve">: Entrepreneurs needing occupational health services and group wellness programs for employees.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300 active patient registrations within 6 months through targeted community outreach in Dakar neighborhoods (Plateau, Fann, Ouakam).</w:t>
      </w:r>
    </w:p>
    <w:p>
      <w:pPr>
        <w:numPr>
          <w:ilvl w:val="0"/>
          <w:numId w:val="1002"/>
        </w:numPr>
        <w:pStyle w:val="Compact"/>
      </w:pPr>
      <w:r>
        <w:t xml:space="preserve">Attain 85% patient satisfaction rate through culturally sensitive care delivery (measured via post-visit digital surveys).</w:t>
      </w:r>
    </w:p>
    <w:p>
      <w:pPr>
        <w:numPr>
          <w:ilvl w:val="0"/>
          <w:numId w:val="1002"/>
        </w:numPr>
        <w:pStyle w:val="Compact"/>
      </w:pPr>
      <w:r>
        <w:t xml:space="preserve">Secure partnerships with 5 major local employers for corporate wellness programs.</w:t>
      </w:r>
    </w:p>
    <w:p>
      <w:pPr>
        <w:numPr>
          <w:ilvl w:val="0"/>
          <w:numId w:val="1002"/>
        </w:numPr>
        <w:pStyle w:val="Compact"/>
      </w:pPr>
      <w:r>
        <w:t xml:space="preserve">Generate 40% of new patients through digital channels (social media, telehealth), addressing Dakar's growing smartphone penetration (78% in urban areas).</w:t>
      </w:r>
    </w:p>
    <w:bookmarkEnd w:id="23"/>
    <w:bookmarkStart w:id="28" w:name="core-marketing-strategies-tactics"/>
    <w:p>
      <w:pPr>
        <w:pStyle w:val="Heading2"/>
      </w:pPr>
      <w:r>
        <w:t xml:space="preserve">Core Marketing Strategies &amp; Tactics</w:t>
      </w:r>
    </w:p>
    <w:bookmarkStart w:id="24" w:name="culturally-embedded-patient-acquisition"/>
    <w:p>
      <w:pPr>
        <w:pStyle w:val="Heading3"/>
      </w:pPr>
      <w:r>
        <w:t xml:space="preserve">1. Culturally Embedded Patient Acquisition</w:t>
      </w:r>
    </w:p>
    <w:p>
      <w:pPr>
        <w:pStyle w:val="FirstParagraph"/>
      </w:pPr>
      <w:r>
        <w:t xml:space="preserve">We will deploy community health workers (CHWs) from Dakar neighborhoods to conduct free health screenings at markets, mosques, and churches. CHWs—trained in local languages (Wolof, French)—will distribute multilingual pamphlets highlighting our GP’s expertise in managing Senegalese-prevalent conditions (malaria, diabetes complications). This builds trust while gathering patient interest data for targeted follow-up.</w:t>
      </w:r>
    </w:p>
    <w:bookmarkEnd w:id="24"/>
    <w:bookmarkStart w:id="25" w:name="digital-patient-experience-enhancement"/>
    <w:p>
      <w:pPr>
        <w:pStyle w:val="Heading3"/>
      </w:pPr>
      <w:r>
        <w:t xml:space="preserve">2. Digital Patient Experience Enhancement</w:t>
      </w:r>
    </w:p>
    <w:p>
      <w:pPr>
        <w:pStyle w:val="FirstParagraph"/>
      </w:pPr>
      <w:r>
        <w:t xml:space="preserve">A dedicated mobile app and WhatsApp service will enable:</w:t>
      </w:r>
    </w:p>
    <w:p>
      <w:pPr>
        <w:numPr>
          <w:ilvl w:val="0"/>
          <w:numId w:val="1003"/>
        </w:numPr>
        <w:pStyle w:val="Compact"/>
      </w:pPr>
      <w:r>
        <w:t xml:space="preserve">Appointment scheduling with SMS reminders in local languages</w:t>
      </w:r>
    </w:p>
    <w:p>
      <w:pPr>
        <w:numPr>
          <w:ilvl w:val="0"/>
          <w:numId w:val="1003"/>
        </w:numPr>
        <w:pStyle w:val="Compact"/>
      </w:pPr>
      <w:r>
        <w:t xml:space="preserve">Virtual consultations for minor ailments (reducing clinic visits by 30%)</w:t>
      </w:r>
    </w:p>
    <w:p>
      <w:pPr>
        <w:numPr>
          <w:ilvl w:val="0"/>
          <w:numId w:val="1003"/>
        </w:numPr>
        <w:pStyle w:val="Compact"/>
      </w:pPr>
      <w:r>
        <w:t xml:space="preserve">Medication adherence tracking via automated voice messages</w:t>
      </w:r>
    </w:p>
    <w:p>
      <w:pPr>
        <w:pStyle w:val="FirstParagraph"/>
      </w:pPr>
      <w:r>
        <w:t xml:space="preserve">We partner with local tech firm Senegalese Tech Hub to customize the platform, ensuring affordability for Dakar’s price-sensitive market.</w:t>
      </w:r>
    </w:p>
    <w:bookmarkEnd w:id="25"/>
    <w:bookmarkStart w:id="26" w:name="strategic-community-partnerships"/>
    <w:p>
      <w:pPr>
        <w:pStyle w:val="Heading3"/>
      </w:pPr>
      <w:r>
        <w:t xml:space="preserve">3. Strategic Community Partnerships</w:t>
      </w:r>
    </w:p>
    <w:p>
      <w:pPr>
        <w:pStyle w:val="FirstParagraph"/>
      </w:pPr>
      <w:r>
        <w:t xml:space="preserve">Key alliances include:</w:t>
      </w:r>
    </w:p>
    <w:p>
      <w:pPr>
        <w:numPr>
          <w:ilvl w:val="0"/>
          <w:numId w:val="1004"/>
        </w:numPr>
        <w:pStyle w:val="Compact"/>
      </w:pPr>
      <w:r>
        <w:rPr>
          <w:bCs/>
          <w:b/>
        </w:rPr>
        <w:t xml:space="preserve">Local NGOs (e.g., SOS Villages D’enfants)</w:t>
      </w:r>
      <w:r>
        <w:t xml:space="preserve">: Co-hosting free pediatric vaccination drives in Dakar’s peri-urban areas.</w:t>
      </w:r>
    </w:p>
    <w:p>
      <w:pPr>
        <w:numPr>
          <w:ilvl w:val="0"/>
          <w:numId w:val="1004"/>
        </w:numPr>
        <w:pStyle w:val="Compact"/>
      </w:pPr>
      <w:r>
        <w:rPr>
          <w:bCs/>
          <w:b/>
        </w:rPr>
        <w:t xml:space="preserve">University of Cheikh Anta Diop</w:t>
      </w:r>
      <w:r>
        <w:t xml:space="preserve">: Offering student health discounts and medical intern placements for GP practice exposure.</w:t>
      </w:r>
    </w:p>
    <w:p>
      <w:pPr>
        <w:numPr>
          <w:ilvl w:val="0"/>
          <w:numId w:val="1004"/>
        </w:numPr>
        <w:pStyle w:val="Compact"/>
      </w:pPr>
      <w:r>
        <w:rPr>
          <w:bCs/>
          <w:b/>
        </w:rPr>
        <w:t xml:space="preserve">Dakar Business Association</w:t>
      </w:r>
      <w:r>
        <w:t xml:space="preserve">: Developing tailored health packages for SMEs to cover employee wellness, including annual check-ups and stress management workshops.</w:t>
      </w:r>
    </w:p>
    <w:bookmarkEnd w:id="26"/>
    <w:bookmarkStart w:id="27" w:name="differential-brand-positioning"/>
    <w:p>
      <w:pPr>
        <w:pStyle w:val="Heading3"/>
      </w:pPr>
      <w:r>
        <w:t xml:space="preserve">4. Differential Brand Positioning</w:t>
      </w:r>
    </w:p>
    <w:p>
      <w:pPr>
        <w:pStyle w:val="FirstParagraph"/>
      </w:pPr>
      <w:r>
        <w:t xml:space="preserve">The "Doctor General Practitioner" brand will emphasize:</w:t>
      </w:r>
    </w:p>
    <w:p>
      <w:pPr>
        <w:numPr>
          <w:ilvl w:val="0"/>
          <w:numId w:val="1005"/>
        </w:numPr>
        <w:pStyle w:val="Compact"/>
      </w:pPr>
      <w:r>
        <w:rPr>
          <w:bCs/>
          <w:b/>
        </w:rPr>
        <w:t xml:space="preserve">Continuity of Care</w:t>
      </w:r>
      <w:r>
        <w:t xml:space="preserve">: Assigning each patient a dedicated GP (not rotating staff) to foster long-term trust.</w:t>
      </w:r>
    </w:p>
    <w:p>
      <w:pPr>
        <w:numPr>
          <w:ilvl w:val="0"/>
          <w:numId w:val="1005"/>
        </w:numPr>
        <w:pStyle w:val="Compact"/>
      </w:pPr>
      <w:r>
        <w:rPr>
          <w:bCs/>
          <w:b/>
        </w:rPr>
        <w:t xml:space="preserve">Preventive Focus</w:t>
      </w:r>
      <w:r>
        <w:t xml:space="preserve">: Free quarterly community talks on diabetes management and malaria prevention, addressing Senegal’s top health priorities.</w:t>
      </w:r>
    </w:p>
    <w:p>
      <w:pPr>
        <w:numPr>
          <w:ilvl w:val="0"/>
          <w:numId w:val="1005"/>
        </w:numPr>
        <w:pStyle w:val="Compact"/>
      </w:pPr>
      <w:r>
        <w:rPr>
          <w:bCs/>
          <w:b/>
        </w:rPr>
        <w:t xml:space="preserve">Cost Transparency</w:t>
      </w:r>
      <w:r>
        <w:t xml:space="preserve">: Publicly listing all fees (e.g., consultation: 15,000 FCFA vs. competitors’ 25,000 FCFA) to combat Dakar’s opaque pricing culture.</w:t>
      </w:r>
    </w:p>
    <w:bookmarkEnd w:id="27"/>
    <w:bookmarkEnd w:id="28"/>
    <w:bookmarkStart w:id="29" w:name="budget-allocation-total-4850000-fcfa"/>
    <w:p>
      <w:pPr>
        <w:pStyle w:val="Heading2"/>
      </w:pPr>
      <w:r>
        <w:t xml:space="preserve">Budget Allocation (Total: 4,850,000 FCFA)</w:t>
      </w:r>
    </w:p>
    <w:p>
      <w:pPr>
        <w:pStyle w:val="FirstParagraph"/>
      </w:pPr>
      <w:r>
        <w:t xml:space="preserve">Item</w:t>
      </w:r>
    </w:p>
    <w:p>
      <w:pPr>
        <w:pStyle w:val="BodyText"/>
      </w:pPr>
      <w:r>
        <w:t xml:space="preserve">Allocation (FCFA)</w:t>
      </w:r>
    </w:p>
    <w:p>
      <w:pPr>
        <w:pStyle w:val="BodyText"/>
      </w:pPr>
      <w:r>
        <w:t xml:space="preserve">% of Budget</w:t>
      </w:r>
    </w:p>
    <w:p>
      <w:pPr>
        <w:pStyle w:val="BodyText"/>
      </w:pPr>
      <w:r>
        <w:t xml:space="preserve">Cultural Community Outreach (CHW Salaries, Materials)</w:t>
      </w:r>
    </w:p>
    <w:p>
      <w:pPr>
        <w:pStyle w:val="BodyText"/>
      </w:pPr>
      <w:r>
        <w:t xml:space="preserve">1,500,000</w:t>
      </w:r>
    </w:p>
    <w:p>
      <w:pPr>
        <w:pStyle w:val="BodyText"/>
      </w:pPr>
      <w:r>
        <w:t xml:space="preserve">31%</w:t>
      </w:r>
    </w:p>
    <w:p>
      <w:pPr>
        <w:pStyle w:val="BodyText"/>
      </w:pPr>
      <w:r>
        <w:t xml:space="preserve">Digital Platform Development &amp; Maintenance</w:t>
      </w:r>
    </w:p>
    <w:p>
      <w:pPr>
        <w:pStyle w:val="BodyText"/>
      </w:pPr>
      <w:r>
        <w:t xml:space="preserve">1,250,000</w:t>
      </w:r>
    </w:p>
    <w:p>
      <w:pPr>
        <w:pStyle w:val="BodyText"/>
      </w:pPr>
      <w:r>
        <w:t xml:space="preserve">26%</w:t>
      </w:r>
    </w:p>
    <w:p>
      <w:pPr>
        <w:pStyle w:val="BodyText"/>
      </w:pPr>
      <w:r>
        <w:t xml:space="preserve">Community Health Events (Supplies, Logistics)</w:t>
      </w:r>
    </w:p>
    <w:p>
      <w:pPr>
        <w:pStyle w:val="BodyText"/>
      </w:pPr>
      <w:r>
        <w:t xml:space="preserve">950,000</w:t>
      </w:r>
    </w:p>
    <w:p>
      <w:pPr>
        <w:pStyle w:val="BodyText"/>
      </w:pPr>
      <w:r>
        <w:rPr>
          <w:bCs/>
          <w:b/>
        </w:rPr>
        <w:t xml:space="preserve">Total</w:t>
      </w:r>
    </w:p>
    <w:p>
      <w:pPr>
        <w:pStyle w:val="BodyText"/>
      </w:pPr>
      <w:r>
        <w:rPr>
          <w:bCs/>
          <w:b/>
        </w:rPr>
        <w:t xml:space="preserve">4,850,000</w:t>
      </w:r>
    </w:p>
    <w:p>
      <w:pPr>
        <w:pStyle w:val="BodyText"/>
      </w:pPr>
      <w:r>
        <w:rPr>
          <w:bCs/>
          <w:b/>
        </w:rPr>
        <w:t xml:space="preserve">100%</w:t>
      </w:r>
    </w:p>
    <w:bookmarkEnd w:id="29"/>
    <w:bookmarkStart w:id="30" w:name="implementation-timeline"/>
    <w:p>
      <w:pPr>
        <w:pStyle w:val="Heading2"/>
      </w:pPr>
      <w:r>
        <w:t xml:space="preserve">Implementation Timeline</w:t>
      </w:r>
    </w:p>
    <w:p>
      <w:pPr>
        <w:pStyle w:val="FirstParagraph"/>
      </w:pPr>
      <w:r>
        <w:rPr>
          <w:iCs/>
          <w:i/>
        </w:rPr>
        <w:t xml:space="preserve">Months 1-3: Foundation Phase</w:t>
      </w:r>
    </w:p>
    <w:p>
      <w:pPr>
        <w:numPr>
          <w:ilvl w:val="0"/>
          <w:numId w:val="1006"/>
        </w:numPr>
        <w:pStyle w:val="Compact"/>
      </w:pPr>
      <w:r>
        <w:t xml:space="preserve">Hire local CHWs and launch WhatsApp patient intake system</w:t>
      </w:r>
    </w:p>
    <w:p>
      <w:pPr>
        <w:numPr>
          <w:ilvl w:val="0"/>
          <w:numId w:val="1006"/>
        </w:numPr>
        <w:pStyle w:val="Compact"/>
      </w:pPr>
      <w:r>
        <w:t xml:space="preserve">Begin pilot health talks at Fann Market (5 sessions)</w:t>
      </w:r>
    </w:p>
    <w:p>
      <w:pPr>
        <w:pStyle w:val="FirstParagraph"/>
      </w:pPr>
      <w:r>
        <w:rPr>
          <w:iCs/>
          <w:i/>
        </w:rPr>
        <w:t xml:space="preserve">Months 4-6: Growth Phase</w:t>
      </w:r>
    </w:p>
    <w:p>
      <w:pPr>
        <w:numPr>
          <w:ilvl w:val="0"/>
          <w:numId w:val="1007"/>
        </w:numPr>
        <w:pStyle w:val="Compact"/>
      </w:pPr>
      <w:r>
        <w:t xml:space="preserve">Roll out mobile app with appointment scheduling</w:t>
      </w:r>
    </w:p>
    <w:p>
      <w:pPr>
        <w:numPr>
          <w:ilvl w:val="0"/>
          <w:numId w:val="1007"/>
        </w:numPr>
        <w:pStyle w:val="Compact"/>
      </w:pPr>
      <w:r>
        <w:t xml:space="preserve">Leverage partnerships for employer wellness contracts</w:t>
      </w:r>
    </w:p>
    <w:p>
      <w:pPr>
        <w:numPr>
          <w:ilvl w:val="0"/>
          <w:numId w:val="1007"/>
        </w:numPr>
        <w:pStyle w:val="Compact"/>
      </w:pPr>
      <w:r>
        <w:t xml:space="preserve">Host first malaria prevention seminar at Dakar’s Grand Mosque (200 attendees)</w:t>
      </w:r>
    </w:p>
    <w:p>
      <w:pPr>
        <w:pStyle w:val="FirstParagraph"/>
      </w:pPr>
      <w:r>
        <w:rPr>
          <w:iCs/>
          <w:i/>
        </w:rPr>
        <w:t xml:space="preserve">Months 7-12: Expansion Phase</w:t>
      </w:r>
    </w:p>
    <w:p>
      <w:pPr>
        <w:numPr>
          <w:ilvl w:val="0"/>
          <w:numId w:val="1008"/>
        </w:numPr>
        <w:pStyle w:val="Compact"/>
      </w:pPr>
      <w:r>
        <w:t xml:space="preserve">Scale to 3 new Dakar neighborhoods (Pikine, Yoff)</w:t>
      </w:r>
    </w:p>
    <w:bookmarkEnd w:id="30"/>
    <w:bookmarkStart w:id="31" w:name="measurement-evaluation"/>
    <w:p>
      <w:pPr>
        <w:pStyle w:val="Heading2"/>
      </w:pPr>
      <w:r>
        <w:t xml:space="preserve">Measurement &amp; Evaluation</w:t>
      </w:r>
    </w:p>
    <w:p>
      <w:pPr>
        <w:pStyle w:val="FirstParagraph"/>
      </w:pPr>
      <w:r>
        <w:t xml:space="preserve">We track success through:</w:t>
      </w:r>
    </w:p>
    <w:p>
      <w:pPr>
        <w:numPr>
          <w:ilvl w:val="0"/>
          <w:numId w:val="1009"/>
        </w:numPr>
        <w:pStyle w:val="Compact"/>
      </w:pPr>
      <w:r>
        <w:rPr>
          <w:bCs/>
          <w:b/>
        </w:rPr>
        <w:t xml:space="preserve">Patient Acquisition Cost (PAC)</w:t>
      </w:r>
      <w:r>
        <w:t xml:space="preserve">: Target PAC ≤ 8,000 FCFA (below Dakar industry average of 12,500 FCFA).</w:t>
      </w:r>
    </w:p>
    <w:p>
      <w:pPr>
        <w:numPr>
          <w:ilvl w:val="0"/>
          <w:numId w:val="1009"/>
        </w:numPr>
        <w:pStyle w:val="Compact"/>
      </w:pPr>
      <w:r>
        <w:rPr>
          <w:bCs/>
          <w:b/>
        </w:rPr>
        <w:t xml:space="preserve">Net Promoter Score (NPS)</w:t>
      </w:r>
      <w:r>
        <w:t xml:space="preserve">: Quarterly surveys measuring likelihood to refer friends.</w:t>
      </w:r>
    </w:p>
    <w:p>
      <w:pPr>
        <w:numPr>
          <w:ilvl w:val="0"/>
          <w:numId w:val="1009"/>
        </w:numPr>
        <w:pStyle w:val="Compact"/>
      </w:pPr>
      <w:r>
        <w:rPr>
          <w:bCs/>
          <w:b/>
        </w:rPr>
        <w:t xml:space="preserve">Community Impact Metrics</w:t>
      </w:r>
      <w:r>
        <w:t xml:space="preserve">: Number of free screenings provided and chronic disease management improvements in target neighborhoods.</w:t>
      </w:r>
    </w:p>
    <w:bookmarkEnd w:id="31"/>
    <w:bookmarkStart w:id="32" w:name="X208527485a058d62d8b87a52010e41e22def542"/>
    <w:p>
      <w:pPr>
        <w:pStyle w:val="Heading2"/>
      </w:pPr>
      <w:r>
        <w:t xml:space="preserve">Conclusion: Serving Senegal Dakar with Purpose</w:t>
      </w:r>
    </w:p>
    <w:p>
      <w:pPr>
        <w:pStyle w:val="FirstParagraph"/>
      </w:pPr>
      <w:r>
        <w:t xml:space="preserve">This Marketing Plan positions the Doctor General Practitioner practice as a catalyst for accessible, community-centered healthcare in Dakar. By embedding our services within Senegalese cultural rhythms—using local languages, respecting religious practices, and prioritizing preventive care—we transform from a clinic into a trusted health partner. In Senegal Dakar’s evolving healthcare ecosystem, where 72% of citizens prefer private providers for timely care (AfDB 2023), this plan ensures sustainable growth while directly addressing the nation’s urgent public health needs. We commit to being more than a practice: we will be the cornerstone of wellness in Senegalese communities.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Dakar, Senegal</dc:title>
  <dc:creator/>
  <dc:language>en</dc:language>
  <cp:keywords/>
  <dcterms:created xsi:type="dcterms:W3CDTF">2025-12-13T06:12:56Z</dcterms:created>
  <dcterms:modified xsi:type="dcterms:W3CDTF">2025-12-13T06:12:56Z</dcterms:modified>
</cp:coreProperties>
</file>

<file path=docProps/custom.xml><?xml version="1.0" encoding="utf-8"?>
<Properties xmlns="http://schemas.openxmlformats.org/officeDocument/2006/custom-properties" xmlns:vt="http://schemas.openxmlformats.org/officeDocument/2006/docPropsVTypes"/>
</file>